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Raza Adnan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2858 DE LA CRUZ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PDF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PDFS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Finance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68"/>
        <w:gridCol w:w="448"/>
        <w:gridCol w:w="79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disposition of shares to the Company to satisfy tax withholding obligations with respect to the vesting of restricted stock units. This is not a sale of shares in the market.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represent an award of restricted stock units (Total RSU). 12.5% of the Total RSUs shall vest on the date that is six (6) months after the Vesting Start Date and 12.5% of the Total RSUs shall vest on each date that is six (6) months thereafter until fully vested, subject to the Recipient's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1,124 shares of common stock that were purchased on January 31, 2026 under the PDF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Adnan Raza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614" TargetMode="External"/><Relationship Id="rId5" Type="http://schemas.openxmlformats.org/officeDocument/2006/relationships/hyperlink" Target="http://www.sec.gov/cgi-bin/browse-edgar?action=getcompany&amp;CIK=0001120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3660</Characters>
  <CharactersWithSpaces>4283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