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CHAN CHI-FOON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2858 DE LA CRUZ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PDF SOLUTIONS INC</w:t>
              </w:r>
            </w:hyperlink>
            <w:r>
              <w:rPr/>
              <w:t xml:space="preserve"> [ </w:t>
            </w:r>
            <w:r>
              <w:rPr>
                <w:rFonts w:ascii="Times;serif" w:hAnsi="Times;serif"/>
                <w:color w:val="0000FF"/>
                <w:sz w:val="24"/>
                <w:shd w:fill="FFFFFF" w:val="clear"/>
              </w:rPr>
              <w:t>PDFS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2,689</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24,168</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represent an award of Restricted Stock Units (Total RSU) under the Company's Director Compensation Program. RSU shall vest in four (4) equal installments of twenty-five percent (25%) of the Total RSUs, with vesting occurring on the first day of each calendar quarter following the Grant Effective Date until fully vested, subject to the Recipient's continued service through each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Adnan Raza, Attorney-In-Fact for Chi-Foon Chan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9834" TargetMode="External"/><Relationship Id="rId5" Type="http://schemas.openxmlformats.org/officeDocument/2006/relationships/hyperlink" Target="http://www.sec.gov/cgi-bin/browse-edgar?action=getcompany&amp;CIK=00011209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3394</Characters>
  <CharactersWithSpaces>3960</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