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GUSTAFSON MICHAEL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2858 DE LA CRUZ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PDF SOLUTIONS INC</w:t>
              </w:r>
            </w:hyperlink>
            <w:r>
              <w:rPr/>
              <w:t xml:space="preserve"> [ </w:t>
            </w:r>
            <w:r>
              <w:rPr>
                <w:rFonts w:ascii="Times;serif" w:hAnsi="Times;serif"/>
                <w:color w:val="0000FF"/>
                <w:sz w:val="24"/>
                <w:shd w:fill="FFFFFF" w:val="clear"/>
              </w:rPr>
              <w:t>PDFS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40,192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(Total RSU) under the Company's Director Compensation Program. RSU shall vest in four (4) equal installments of twenty-five percent (25%) of the Total RSUs, with vesting occurring on the first day of each calendar quarter following the Grant Effective Date until fully vested, subject to the Recipient's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Adnan Raza, Attorney-In-Fact for Michael B. Gustafson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5081" TargetMode="External"/><Relationship Id="rId5" Type="http://schemas.openxmlformats.org/officeDocument/2006/relationships/hyperlink" Target="http://www.sec.gov/cgi-bin/browse-edgar?action=getcompany&amp;CIK=0001120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3405</Characters>
  <CharactersWithSpaces>3973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