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1225d8k.htm"/>
      <w:bookmarkStart w:id="1" w:name="ksd12122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May 13,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PDF SOLUTIONS,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000-31311</w:t>
      </w:r>
    </w:p>
    <w:p>
      <w:pPr>
        <w:pStyle w:val="TextBody"/>
        <w:bidi w:val="0"/>
        <w:spacing w:before="0" w:after="0"/>
        <w:jc w:val="center"/>
        <w:rPr>
          <w:rFonts w:ascii="Times New Roman" w:hAnsi="Times New Roman"/>
          <w:b/>
          <w:sz w:val="16"/>
        </w:rPr>
      </w:pPr>
      <w:r>
        <w:rPr>
          <w:rFonts w:ascii="Times New Roman" w:hAnsi="Times New Roman"/>
          <w:b/>
          <w:sz w:val="16"/>
        </w:rPr>
        <w:t>(Commission File Number)</w:t>
      </w:r>
    </w:p>
    <w:p>
      <w:pPr>
        <w:pStyle w:val="TextBody"/>
        <w:bidi w:val="0"/>
        <w:spacing w:before="0" w:after="0"/>
        <w:jc w:val="left"/>
        <w:rPr/>
      </w:pPr>
      <w:r>
        <w:rPr/>
        <w:t> </w:t>
      </w:r>
    </w:p>
    <w:tbl>
      <w:tblPr>
        <w:tblW w:w="3490" w:type="dxa"/>
        <w:jc w:val="left"/>
        <w:tblInd w:w="0" w:type="dxa"/>
        <w:tblLayout w:type="fixed"/>
        <w:tblCellMar>
          <w:top w:w="0" w:type="dxa"/>
          <w:left w:w="0" w:type="dxa"/>
          <w:bottom w:w="0" w:type="dxa"/>
          <w:right w:w="0" w:type="dxa"/>
        </w:tblCellMar>
      </w:tblPr>
      <w:tblGrid>
        <w:gridCol w:w="2060"/>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25-1701361</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2858 De La Cruz Boulevard</w:t>
      </w:r>
    </w:p>
    <w:p>
      <w:pPr>
        <w:pStyle w:val="TextBody"/>
        <w:bidi w:val="0"/>
        <w:spacing w:before="0" w:after="0"/>
        <w:jc w:val="center"/>
        <w:rPr>
          <w:rFonts w:ascii="Times New Roman" w:hAnsi="Times New Roman"/>
          <w:b/>
          <w:sz w:val="20"/>
        </w:rPr>
      </w:pPr>
      <w:r>
        <w:rPr>
          <w:rFonts w:ascii="Times New Roman" w:hAnsi="Times New Roman"/>
          <w:b/>
          <w:sz w:val="20"/>
        </w:rPr>
        <w:t>Santa Clara, CA 95050</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with zip code)</w:t>
      </w:r>
    </w:p>
    <w:p>
      <w:pPr>
        <w:pStyle w:val="TextBody"/>
        <w:bidi w:val="0"/>
        <w:spacing w:before="240" w:after="0"/>
        <w:jc w:val="center"/>
        <w:rPr>
          <w:rFonts w:ascii="Times New Roman" w:hAnsi="Times New Roman"/>
          <w:b/>
          <w:sz w:val="20"/>
        </w:rPr>
      </w:pPr>
      <w:r>
        <w:rPr>
          <w:rFonts w:ascii="Times New Roman" w:hAnsi="Times New Roman"/>
          <w:b/>
          <w:sz w:val="20"/>
        </w:rPr>
        <w:t>(408) 280-7900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Exchange Act:</w:t>
      </w:r>
    </w:p>
    <w:p>
      <w:pPr>
        <w:pStyle w:val="TextBody"/>
        <w:bidi w:val="0"/>
        <w:spacing w:before="0" w:after="0"/>
        <w:jc w:val="left"/>
        <w:rPr/>
      </w:pPr>
      <w:r>
        <w:rPr/>
        <w:t> </w:t>
      </w:r>
    </w:p>
    <w:tbl>
      <w:tblPr>
        <w:tblW w:w="7695" w:type="dxa"/>
        <w:jc w:val="left"/>
        <w:tblInd w:w="0" w:type="dxa"/>
        <w:tblLayout w:type="fixed"/>
        <w:tblCellMar>
          <w:top w:w="0" w:type="dxa"/>
          <w:left w:w="0" w:type="dxa"/>
          <w:bottom w:w="0" w:type="dxa"/>
          <w:right w:w="0" w:type="dxa"/>
        </w:tblCellMar>
      </w:tblPr>
      <w:tblGrid>
        <w:gridCol w:w="3470"/>
        <w:gridCol w:w="60"/>
        <w:gridCol w:w="740"/>
        <w:gridCol w:w="60"/>
        <w:gridCol w:w="3365"/>
      </w:tblGrid>
      <w:tr>
        <w:trPr/>
        <w:tc>
          <w:tcPr>
            <w:tcW w:w="3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65" w:type="dxa"/>
            <w:tcBorders/>
            <w:vAlign w:val="center"/>
          </w:tcPr>
          <w:p>
            <w:pPr>
              <w:pStyle w:val="TableContents"/>
              <w:bidi w:val="0"/>
              <w:spacing w:before="0" w:after="283"/>
              <w:jc w:val="left"/>
              <w:rPr>
                <w:sz w:val="4"/>
                <w:szCs w:val="4"/>
              </w:rPr>
            </w:pPr>
            <w:r>
              <w:rPr>
                <w:sz w:val="4"/>
                <w:szCs w:val="4"/>
              </w:rPr>
            </w:r>
          </w:p>
        </w:tc>
      </w:tr>
      <w:tr>
        <w:trPr/>
        <w:tc>
          <w:tcPr>
            <w:tcW w:w="34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3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470" w:type="dxa"/>
            <w:tcBorders/>
            <w:vAlign w:val="center"/>
          </w:tcPr>
          <w:p>
            <w:pPr>
              <w:pStyle w:val="TableContents"/>
              <w:bidi w:val="0"/>
              <w:spacing w:before="0" w:after="283"/>
              <w:jc w:val="center"/>
              <w:rPr/>
            </w:pPr>
            <w:r>
              <w:rPr/>
              <w:t>Common Stock, $0.00015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PDFS</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or Rule 12b-2 of the Securities Exchange Act of 1934.</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60" w:type="dxa"/>
        <w:jc w:val="left"/>
        <w:tblInd w:w="0" w:type="dxa"/>
        <w:tblLayout w:type="fixed"/>
        <w:tblCellMar>
          <w:top w:w="0" w:type="dxa"/>
          <w:left w:w="0" w:type="dxa"/>
          <w:bottom w:w="0" w:type="dxa"/>
          <w:right w:w="0" w:type="dxa"/>
        </w:tblCellMar>
      </w:tblPr>
      <w:tblGrid>
        <w:gridCol w:w="1025"/>
        <w:gridCol w:w="1235"/>
      </w:tblGrid>
      <w:tr>
        <w:trPr/>
        <w:tc>
          <w:tcPr>
            <w:tcW w:w="102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May 13, 2026, PDF Solutions, Inc. (the “Company”) entered into an underwriting agreement (the “Underwriting Agreement”) with Morgan Stanley &amp; Co. LLC, as representative of the several underwriters named therein (collectively, the “Underwriters”), and Advantest America, Inc. (the “Selling Stockholder”) in connection with (i) the offering, issuance and sale by the Company of 1,946,630 shares of the Company’s common stock, $0.00015 par value per share (the “Common Stock”), including 685,246 shares sold pursuant to the Underwriters’ full exercise of their option to purchase additional shares, and (ii) the offering and sale by the Selling Stockholder of 3,306,924 shares of the Company’s Common Stock, at an offering price of $44.00 per share, less underwriting discounts and commissions (collectively, the “Offering”). The Offering closed on May 15, 2026. </w:t>
      </w:r>
    </w:p>
    <w:p>
      <w:pPr>
        <w:pStyle w:val="TextBody"/>
        <w:bidi w:val="0"/>
        <w:spacing w:before="240" w:after="0"/>
        <w:jc w:val="left"/>
        <w:rPr>
          <w:rFonts w:ascii="Times New Roman" w:hAnsi="Times New Roman"/>
          <w:sz w:val="20"/>
        </w:rPr>
      </w:pPr>
      <w:r>
        <w:rPr>
          <w:rFonts w:ascii="Times New Roman" w:hAnsi="Times New Roman"/>
          <w:sz w:val="20"/>
        </w:rPr>
        <w:t xml:space="preserve">The Offering was made pursuant to an effective shelf registration statement on Form S-3 (Registration No. 333-295834), including a base prospectus and a related prospectus supplement filed with the Securities and Exchange Commission. The gross proceeds to the Company from the sale of shares of Common Stock by the Company, before deducting underwriting discounts and commissions and estimated offering expenses, were approximately $85.7 million. The Company did not receive any proceeds from the sale of shares by the 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contains customary representations, warranties, covenants and agreements by the Company, customary conditions to closing, indemnification obligations of the Company and the Underwriters, including for liabilities under the Securities Act of 1933, as amended,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Underwriting Agreement is not complete and is qualified in its entirety by reference to the full text of the Underwriting Agreement, a copy of which is filed as Exhibit 1.1 to this Current Report on Form 8-K and is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Latham &amp; Watkins LLP, counsel to the Company, has issued an opinion regarding the validity of the shares of Common Stock offered and sold in the Offering. A copy of the opinion is filed as Exhibit 5.1 to this Current Report on Form 8-K.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0"/>
        <w:gridCol w:w="120"/>
        <w:gridCol w:w="95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No.</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center"/>
              <w:rPr>
                <w:b/>
              </w:rPr>
            </w:pPr>
            <w:r>
              <w:rPr>
                <w:b/>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21225dex11.htm">
              <w:r>
                <w:rPr>
                  <w:rStyle w:val="InternetLink"/>
                </w:rPr>
                <w:t xml:space="preserve">Underwriting Agreement, dated May 13, 2026, by and among the Company, the Selling Stockholder and Morgan Stanley &amp; Co. LLC, as representative of the several underwriters named therein.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5.1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21225dex51.htm">
              <w:r>
                <w:rPr>
                  <w:rStyle w:val="InternetLink"/>
                </w:rPr>
                <w:t xml:space="preserve">Opinion of Latham &amp; Watkins LLP.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21225dex51.htm">
              <w:r>
                <w:rPr>
                  <w:rStyle w:val="InternetLink"/>
                </w:rPr>
                <w:t xml:space="preserve">Consent of Latham &amp; Watkins LLP (included in Exhibit 5.1).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8710" w:type="dxa"/>
        <w:jc w:val="left"/>
        <w:tblInd w:w="0" w:type="dxa"/>
        <w:tblLayout w:type="fixed"/>
        <w:tblCellMar>
          <w:top w:w="0" w:type="dxa"/>
          <w:left w:w="0" w:type="dxa"/>
          <w:bottom w:w="0" w:type="dxa"/>
          <w:right w:w="0" w:type="dxa"/>
        </w:tblCellMar>
      </w:tblPr>
      <w:tblGrid>
        <w:gridCol w:w="380"/>
        <w:gridCol w:w="60"/>
        <w:gridCol w:w="8270"/>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70" w:type="dxa"/>
            <w:tcBorders/>
            <w:vAlign w:val="center"/>
          </w:tcPr>
          <w:p>
            <w:pPr>
              <w:pStyle w:val="TableContents"/>
              <w:bidi w:val="0"/>
              <w:spacing w:before="0" w:after="283"/>
              <w:jc w:val="left"/>
              <w:rPr>
                <w:sz w:val="4"/>
                <w:szCs w:val="4"/>
              </w:rPr>
            </w:pPr>
            <w:r>
              <w:rPr>
                <w:sz w:val="4"/>
                <w:szCs w:val="4"/>
              </w:rPr>
            </w:r>
          </w:p>
        </w:tc>
      </w:tr>
      <w:tr>
        <w:trPr/>
        <w:tc>
          <w:tcPr>
            <w:tcW w:w="8710" w:type="dxa"/>
            <w:gridSpan w:val="3"/>
            <w:tcBorders/>
            <w:vAlign w:val="center"/>
          </w:tcPr>
          <w:p>
            <w:pPr>
              <w:pStyle w:val="TableContents"/>
              <w:bidi w:val="0"/>
              <w:spacing w:before="0" w:after="283"/>
              <w:jc w:val="left"/>
              <w:rPr/>
            </w:pPr>
            <w:r>
              <w:rPr/>
              <w:t>PDF SOLUTIONS, INC. (Registrant)</w:t>
            </w:r>
          </w:p>
        </w:tc>
      </w:tr>
      <w:tr>
        <w:trPr/>
        <w:tc>
          <w:tcPr>
            <w:tcW w:w="380" w:type="dxa"/>
            <w:tcBorders/>
            <w:vAlign w:val="center"/>
          </w:tcPr>
          <w:p>
            <w:pPr>
              <w:pStyle w:val="TableContents"/>
              <w:bidi w:val="0"/>
              <w:spacing w:before="0" w:after="283"/>
              <w:jc w:val="left"/>
              <w:rPr>
                <w:sz w:val="4"/>
                <w:szCs w:val="4"/>
              </w:rPr>
            </w:pPr>
            <w:r>
              <w:rPr>
                <w:sz w:val="4"/>
                <w:szCs w:val="4"/>
              </w:rPr>
            </w:r>
          </w:p>
        </w:tc>
        <w:tc>
          <w:tcPr>
            <w:tcW w:w="8330"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827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Adnan Raza</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70" w:type="dxa"/>
            <w:tcBorders/>
            <w:vAlign w:val="center"/>
          </w:tcPr>
          <w:p>
            <w:pPr>
              <w:pStyle w:val="TableContents"/>
              <w:bidi w:val="0"/>
              <w:spacing w:before="0" w:after="283"/>
              <w:jc w:val="left"/>
              <w:rPr/>
            </w:pPr>
            <w:r>
              <w:rPr/>
              <w:t>Adnan Raza</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70" w:type="dxa"/>
            <w:tcBorders/>
            <w:vAlign w:val="center"/>
          </w:tcPr>
          <w:p>
            <w:pPr>
              <w:pStyle w:val="TableContents"/>
              <w:bidi w:val="0"/>
              <w:spacing w:before="0" w:after="283"/>
              <w:jc w:val="left"/>
              <w:rPr>
                <w:i/>
              </w:rPr>
            </w:pPr>
            <w:r>
              <w:rPr>
                <w:i/>
              </w:rPr>
              <w:t>EVP, Finance, and Chief Financial Officer (principal financial and accounting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May 15, 2026 </w:t>
      </w:r>
    </w:p>
    <w:p>
      <w:pPr>
        <w:pStyle w:val="TextBody"/>
        <w:bidi w:val="0"/>
        <w:spacing w:before="0" w:after="0"/>
        <w:jc w:val="right"/>
        <w:rPr>
          <w:rFonts w:ascii="Times New Roman" w:hAnsi="Times New Roman"/>
          <w:b/>
          <w:sz w:val="20"/>
        </w:rPr>
      </w:pPr>
      <w:bookmarkStart w:id="2" w:name="d121225dex11.htm"/>
      <w:bookmarkStart w:id="3" w:name="ksd121225dex11"/>
      <w:bookmarkEnd w:id="2"/>
      <w:bookmarkEnd w:id="3"/>
      <w:r>
        <w:rPr>
          <w:rFonts w:ascii="Times New Roman" w:hAnsi="Times New Roman"/>
          <w:b/>
          <w:sz w:val="20"/>
        </w:rPr>
        <w:t xml:space="preserve">Exhibit 1.1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4,568,308 Shares </w:t>
      </w:r>
    </w:p>
    <w:p>
      <w:pPr>
        <w:pStyle w:val="TextBody"/>
        <w:bidi w:val="0"/>
        <w:spacing w:before="240" w:after="0"/>
        <w:jc w:val="center"/>
        <w:rPr>
          <w:rFonts w:ascii="Times New Roman" w:hAnsi="Times New Roman"/>
          <w:b/>
          <w:sz w:val="20"/>
        </w:rPr>
      </w:pPr>
      <w:r>
        <w:rPr>
          <w:rFonts w:ascii="Times New Roman" w:hAnsi="Times New Roman"/>
          <w:b/>
          <w:sz w:val="20"/>
        </w:rPr>
        <w:t xml:space="preserve">PDF SOLUTIONS, INC. </w:t>
      </w:r>
    </w:p>
    <w:p>
      <w:pPr>
        <w:pStyle w:val="TextBody"/>
        <w:bidi w:val="0"/>
        <w:spacing w:before="240" w:after="0"/>
        <w:jc w:val="center"/>
        <w:rPr>
          <w:rFonts w:ascii="Times New Roman" w:hAnsi="Times New Roman"/>
          <w:b/>
          <w:sz w:val="20"/>
        </w:rPr>
      </w:pPr>
      <w:r>
        <w:rPr>
          <w:rFonts w:ascii="Times New Roman" w:hAnsi="Times New Roman"/>
          <w:b/>
          <w:sz w:val="20"/>
        </w:rPr>
        <w:t xml:space="preserve">COMMON STOCK, $0.00015 PAR VALUE PER SHARE </w:t>
      </w:r>
    </w:p>
    <w:p>
      <w:pPr>
        <w:pStyle w:val="TextBody"/>
        <w:bidi w:val="0"/>
        <w:spacing w:before="240" w:after="0"/>
        <w:jc w:val="center"/>
        <w:rPr>
          <w:rFonts w:ascii="Times New Roman" w:hAnsi="Times New Roman"/>
          <w:b/>
          <w:sz w:val="20"/>
        </w:rPr>
      </w:pPr>
      <w:r>
        <w:rPr>
          <w:rFonts w:ascii="Times New Roman" w:hAnsi="Times New Roman"/>
          <w:b/>
          <w:sz w:val="20"/>
        </w:rPr>
        <w:t xml:space="preserve">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May 13, 2026 </w:t>
      </w:r>
      <w:r>
        <w:br w:type="page"/>
      </w:r>
    </w:p>
    <w:p>
      <w:pPr>
        <w:pStyle w:val="HorizontalLine"/>
        <w:pBdr>
          <w:bottom w:val="double" w:sz="6" w:space="0" w:color="808080"/>
        </w:pBdr>
        <w:bidi w:val="0"/>
        <w:jc w:val="left"/>
        <w:rPr/>
      </w:pPr>
      <w:r>
        <w:rPr/>
      </w:r>
    </w:p>
    <w:p>
      <w:pPr>
        <w:pStyle w:val="TextBody"/>
        <w:bidi w:val="0"/>
        <w:spacing w:before="0" w:after="0"/>
        <w:jc w:val="left"/>
        <w:rPr/>
      </w:pPr>
      <w:r>
        <w:rPr/>
        <w:t>     </w:t>
      </w:r>
      <w:r>
        <w:rPr>
          <w:rFonts w:ascii="Times New Roman" w:hAnsi="Times New Roman"/>
          <w:sz w:val="20"/>
        </w:rPr>
        <w:t xml:space="preserve">May 13, 2026 </w:t>
      </w:r>
    </w:p>
    <w:p>
      <w:pPr>
        <w:pStyle w:val="TextBody"/>
        <w:bidi w:val="0"/>
        <w:spacing w:before="240" w:after="0"/>
        <w:jc w:val="left"/>
        <w:rPr>
          <w:rFonts w:ascii="Times New Roman" w:hAnsi="Times New Roman"/>
          <w:sz w:val="20"/>
        </w:rPr>
      </w:pPr>
      <w:r>
        <w:rPr>
          <w:rFonts w:ascii="Times New Roman" w:hAnsi="Times New Roman"/>
          <w:sz w:val="20"/>
        </w:rPr>
        <w:t xml:space="preserve">Morgan Stanley &amp; Co. LLC </w:t>
      </w:r>
    </w:p>
    <w:p>
      <w:pPr>
        <w:pStyle w:val="TextBody"/>
        <w:bidi w:val="0"/>
        <w:spacing w:before="240" w:after="0"/>
        <w:jc w:val="left"/>
        <w:rPr>
          <w:rFonts w:ascii="Times New Roman" w:hAnsi="Times New Roman"/>
          <w:sz w:val="20"/>
        </w:rPr>
      </w:pPr>
      <w:r>
        <w:rPr>
          <w:rFonts w:ascii="Times New Roman" w:hAnsi="Times New Roman"/>
          <w:sz w:val="20"/>
        </w:rPr>
        <w:t xml:space="preserve">c/o 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1585 Broadway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10036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PDF Solutions, Inc., a Delaware corporation (the “</w:t>
      </w:r>
      <w:r>
        <w:rPr>
          <w:rFonts w:ascii="Times New Roman" w:hAnsi="Times New Roman"/>
          <w:b/>
          <w:sz w:val="20"/>
        </w:rPr>
        <w:t>Company</w:t>
      </w:r>
      <w:r>
        <w:rPr>
          <w:rFonts w:ascii="Times New Roman" w:hAnsi="Times New Roman"/>
          <w:sz w:val="20"/>
        </w:rPr>
        <w:t>”) proposes to issue and sell to the several Underwriters named in Schedule II hereto (the “</w:t>
      </w:r>
      <w:r>
        <w:rPr>
          <w:rFonts w:ascii="Times New Roman" w:hAnsi="Times New Roman"/>
          <w:b/>
          <w:sz w:val="20"/>
        </w:rPr>
        <w:t>Underwriters</w:t>
      </w:r>
      <w:r>
        <w:rPr>
          <w:rFonts w:ascii="Times New Roman" w:hAnsi="Times New Roman"/>
          <w:sz w:val="20"/>
        </w:rPr>
        <w:t>”), and the shareholder of the Company named in Schedule I hereto (the “</w:t>
      </w:r>
      <w:r>
        <w:rPr>
          <w:rFonts w:ascii="Times New Roman" w:hAnsi="Times New Roman"/>
          <w:b/>
          <w:sz w:val="20"/>
        </w:rPr>
        <w:t>Selling Shareholder</w:t>
      </w:r>
      <w:r>
        <w:rPr>
          <w:rFonts w:ascii="Times New Roman" w:hAnsi="Times New Roman"/>
          <w:sz w:val="20"/>
        </w:rPr>
        <w:t>”) proposes to sell to the Underwriters, an aggregate of 4,568,308 shares of the common stock, par value $0.00015 per share, of the Company (the “</w:t>
      </w:r>
      <w:r>
        <w:rPr>
          <w:rFonts w:ascii="Times New Roman" w:hAnsi="Times New Roman"/>
          <w:b/>
          <w:sz w:val="20"/>
        </w:rPr>
        <w:t>Firm Shares</w:t>
      </w:r>
      <w:r>
        <w:rPr>
          <w:rFonts w:ascii="Times New Roman" w:hAnsi="Times New Roman"/>
          <w:sz w:val="20"/>
        </w:rPr>
        <w:t xml:space="preserve">”), of which 1,261,384 shares are to be issued and sold by the Company and 3,306,924 shares are to be sold by the Selling Shareholder, with the Selling Shareholder selling the amount set forth opposite such Selling Shareholder’s name in Schedule I hereto. </w:t>
      </w:r>
    </w:p>
    <w:p>
      <w:pPr>
        <w:pStyle w:val="TextBody"/>
        <w:bidi w:val="0"/>
        <w:spacing w:before="240" w:after="0"/>
        <w:jc w:val="left"/>
        <w:rPr>
          <w:rFonts w:ascii="Times New Roman" w:hAnsi="Times New Roman"/>
          <w:sz w:val="20"/>
        </w:rPr>
      </w:pPr>
      <w:r>
        <w:rPr>
          <w:rFonts w:ascii="Times New Roman" w:hAnsi="Times New Roman"/>
          <w:sz w:val="20"/>
        </w:rPr>
        <w:t>The Company also proposes to issue and sell to the several Underwriters not more than an additional 685,246 shares of its common stock, par value $0.00015 per share (the “</w:t>
      </w:r>
      <w:r>
        <w:rPr>
          <w:rFonts w:ascii="Times New Roman" w:hAnsi="Times New Roman"/>
          <w:b/>
          <w:sz w:val="20"/>
        </w:rPr>
        <w:t>Additional Shares</w:t>
      </w:r>
      <w:r>
        <w:rPr>
          <w:rFonts w:ascii="Times New Roman" w:hAnsi="Times New Roman"/>
          <w:sz w:val="20"/>
        </w:rPr>
        <w:t>”) if and to the extent that Morgan Stanley &amp; Co. LLC, (“</w:t>
      </w:r>
      <w:r>
        <w:rPr>
          <w:rFonts w:ascii="Times New Roman" w:hAnsi="Times New Roman"/>
          <w:b/>
          <w:sz w:val="20"/>
        </w:rPr>
        <w:t>Morgan Stanley</w:t>
      </w:r>
      <w:r>
        <w:rPr>
          <w:rFonts w:ascii="Times New Roman" w:hAnsi="Times New Roman"/>
          <w:sz w:val="20"/>
        </w:rPr>
        <w:t>”), shall have determined to exercise, on behalf of the Underwriters, the right to purchase such shares of common stock granted to the Underwriters in Section 3 hereof. The Firm Shares and the Additional Shares are hereinafter collectively referred to as the “</w:t>
      </w:r>
      <w:r>
        <w:rPr>
          <w:rFonts w:ascii="Times New Roman" w:hAnsi="Times New Roman"/>
          <w:b/>
          <w:sz w:val="20"/>
        </w:rPr>
        <w:t>Shares</w:t>
      </w:r>
      <w:r>
        <w:rPr>
          <w:rFonts w:ascii="Times New Roman" w:hAnsi="Times New Roman"/>
          <w:sz w:val="20"/>
        </w:rPr>
        <w:t>.” The shares of common stock, par value $0.00015 per share, of the Company to be outstanding after giving effect to the sales contemplated hereby are hereinafter referred to as the “</w:t>
      </w:r>
      <w:r>
        <w:rPr>
          <w:rFonts w:ascii="Times New Roman" w:hAnsi="Times New Roman"/>
          <w:b/>
          <w:sz w:val="20"/>
        </w:rPr>
        <w:t>Common Stock</w:t>
      </w:r>
      <w:r>
        <w:rPr>
          <w:rFonts w:ascii="Times New Roman" w:hAnsi="Times New Roman"/>
          <w:sz w:val="20"/>
        </w:rPr>
        <w:t>.” The Company and the Selling Shareholder are hereinafter sometimes collectively referred to as the “</w:t>
      </w:r>
      <w:r>
        <w:rPr>
          <w:rFonts w:ascii="Times New Roman" w:hAnsi="Times New Roman"/>
          <w:b/>
          <w:sz w:val="20"/>
        </w:rPr>
        <w:t>Sellers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has filed with the Securities and Exchange Commission (the “</w:t>
      </w:r>
      <w:r>
        <w:rPr>
          <w:rFonts w:ascii="Times New Roman" w:hAnsi="Times New Roman"/>
          <w:b/>
          <w:sz w:val="20"/>
        </w:rPr>
        <w:t>Commission</w:t>
      </w:r>
      <w:r>
        <w:rPr>
          <w:rFonts w:ascii="Times New Roman" w:hAnsi="Times New Roman"/>
          <w:sz w:val="20"/>
        </w:rPr>
        <w:t>”) a registration statement on Form S-3 (File No. 333-295834), including a preliminary prospectus, relating to the Shares. The registration statement as amended at the time it becomes effective, including the information (if any) deemed to be part of the registration statement at the time of effectiveness pursuant to Rule 430A under the Securities Act of 1933, as amended (the “</w:t>
      </w:r>
      <w:r>
        <w:rPr>
          <w:rFonts w:ascii="Times New Roman" w:hAnsi="Times New Roman"/>
          <w:b/>
          <w:sz w:val="20"/>
        </w:rPr>
        <w:t>Securities Act</w:t>
      </w:r>
      <w:r>
        <w:rPr>
          <w:rFonts w:ascii="Times New Roman" w:hAnsi="Times New Roman"/>
          <w:sz w:val="20"/>
        </w:rPr>
        <w:t>”), is hereinafter referred to as the “</w:t>
      </w:r>
      <w:r>
        <w:rPr>
          <w:rFonts w:ascii="Times New Roman" w:hAnsi="Times New Roman"/>
          <w:b/>
          <w:sz w:val="20"/>
        </w:rPr>
        <w:t>Registration Statement</w:t>
      </w:r>
      <w:r>
        <w:rPr>
          <w:rFonts w:ascii="Times New Roman" w:hAnsi="Times New Roman"/>
          <w:sz w:val="20"/>
        </w:rPr>
        <w:t>”; the prospectus in the form first used to confirm sales of Shares (or in the form first made available to the Underwriters by the Company to meet requests of purchasers pursuant to Rule 173 under the Securities Act) is hereinafter referred to as the “</w:t>
      </w:r>
      <w:r>
        <w:rPr>
          <w:rFonts w:ascii="Times New Roman" w:hAnsi="Times New Roman"/>
          <w:b/>
          <w:sz w:val="20"/>
        </w:rPr>
        <w:t>Prospectus.</w:t>
      </w:r>
      <w:r>
        <w:rPr>
          <w:rFonts w:ascii="Times New Roman" w:hAnsi="Times New Roman"/>
          <w:sz w:val="20"/>
        </w:rPr>
        <w:t>” If the Company has filed an abbreviated registration statement to register additional shares of Common Stock pursuant to Rule 462(b) under the Securities Act (a “</w:t>
      </w:r>
      <w:r>
        <w:rPr>
          <w:rFonts w:ascii="Times New Roman" w:hAnsi="Times New Roman"/>
          <w:b/>
          <w:sz w:val="20"/>
        </w:rPr>
        <w:t>Rule</w:t>
      </w:r>
      <w:r>
        <w:rPr>
          <w:rFonts w:ascii="Times New Roman" w:hAnsi="Times New Roman"/>
          <w:sz w:val="20"/>
        </w:rPr>
        <w:t> </w:t>
      </w:r>
      <w:r>
        <w:rPr>
          <w:rFonts w:ascii="Times New Roman" w:hAnsi="Times New Roman"/>
          <w:b/>
          <w:sz w:val="20"/>
        </w:rPr>
        <w:t>462</w:t>
      </w:r>
      <w:r>
        <w:rPr>
          <w:rFonts w:ascii="Times New Roman" w:hAnsi="Times New Roman"/>
          <w:sz w:val="20"/>
        </w:rPr>
        <w:t xml:space="preserve"> </w:t>
      </w:r>
      <w:r>
        <w:rPr>
          <w:rFonts w:ascii="Times New Roman" w:hAnsi="Times New Roman"/>
          <w:b/>
          <w:sz w:val="20"/>
        </w:rPr>
        <w:t>Registration Statement</w:t>
      </w:r>
      <w:r>
        <w:rPr>
          <w:rFonts w:ascii="Times New Roman" w:hAnsi="Times New Roman"/>
          <w:sz w:val="20"/>
        </w:rPr>
        <w:t>”), then any reference herein to the term “</w:t>
      </w:r>
      <w:r>
        <w:rPr>
          <w:rFonts w:ascii="Times New Roman" w:hAnsi="Times New Roman"/>
          <w:b/>
          <w:sz w:val="20"/>
        </w:rPr>
        <w:t>Registration Statement</w:t>
      </w:r>
      <w:r>
        <w:rPr>
          <w:rFonts w:ascii="Times New Roman" w:hAnsi="Times New Roman"/>
          <w:sz w:val="20"/>
        </w:rPr>
        <w:t xml:space="preserve">” shall be deemed to include such Rule 462 Registration Statement.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For purposes of this Agreement, “</w:t>
      </w:r>
      <w:r>
        <w:rPr>
          <w:rFonts w:ascii="Times New Roman" w:hAnsi="Times New Roman"/>
          <w:b/>
          <w:sz w:val="20"/>
        </w:rPr>
        <w:t>free writing prospectus</w:t>
      </w:r>
      <w:r>
        <w:rPr>
          <w:rFonts w:ascii="Times New Roman" w:hAnsi="Times New Roman"/>
          <w:sz w:val="20"/>
        </w:rPr>
        <w:t>” has the meaning set forth in Rule 405 under the Securities Act, “preliminary prospectus” shall mean each prospectus used prior to the effectiveness of the Registration Statement, and each prospectus that omitted information pursuant to Rule 430A under the Securities Act that was used after such effectiveness and prior to the execution and delivery of this Agreement, “</w:t>
      </w:r>
      <w:r>
        <w:rPr>
          <w:rFonts w:ascii="Times New Roman" w:hAnsi="Times New Roman"/>
          <w:b/>
          <w:sz w:val="20"/>
        </w:rPr>
        <w:t>Time of Sale Prospectus</w:t>
      </w:r>
      <w:r>
        <w:rPr>
          <w:rFonts w:ascii="Times New Roman" w:hAnsi="Times New Roman"/>
          <w:sz w:val="20"/>
        </w:rPr>
        <w:t>” means the preliminary prospectus contained in the Registration Statement at the time of its effectiveness together with the documents and pricing information set forth in Schedule III hereto, and “</w:t>
      </w:r>
      <w:r>
        <w:rPr>
          <w:rFonts w:ascii="Times New Roman" w:hAnsi="Times New Roman"/>
          <w:b/>
          <w:sz w:val="20"/>
        </w:rPr>
        <w:t>broadly available road show</w:t>
      </w:r>
      <w:r>
        <w:rPr>
          <w:rFonts w:ascii="Times New Roman" w:hAnsi="Times New Roman"/>
          <w:sz w:val="20"/>
        </w:rPr>
        <w:t>” means a “bona fide electronic road show” as defined in Rule 433(h)(5) under the Securities Act that has been made available without restriction to any person. As used herein, the terms “Registration Statement,” “preliminary prospectus,” “Time of Sale Prospectus” and “Prospectus” shall include the documents, if any, incorporated by reference therein as of the date hereof. The terms “</w:t>
      </w:r>
      <w:r>
        <w:rPr>
          <w:rFonts w:ascii="Times New Roman" w:hAnsi="Times New Roman"/>
          <w:b/>
          <w:sz w:val="20"/>
        </w:rPr>
        <w:t>supplement,</w:t>
      </w:r>
      <w:r>
        <w:rPr>
          <w:rFonts w:ascii="Times New Roman" w:hAnsi="Times New Roman"/>
          <w:sz w:val="20"/>
        </w:rPr>
        <w:t>” “</w:t>
      </w:r>
      <w:r>
        <w:rPr>
          <w:rFonts w:ascii="Times New Roman" w:hAnsi="Times New Roman"/>
          <w:b/>
          <w:sz w:val="20"/>
        </w:rPr>
        <w:t>amendment</w:t>
      </w:r>
      <w:r>
        <w:rPr>
          <w:rFonts w:ascii="Times New Roman" w:hAnsi="Times New Roman"/>
          <w:sz w:val="20"/>
        </w:rPr>
        <w:t>” and “</w:t>
      </w:r>
      <w:r>
        <w:rPr>
          <w:rFonts w:ascii="Times New Roman" w:hAnsi="Times New Roman"/>
          <w:b/>
          <w:sz w:val="20"/>
        </w:rPr>
        <w:t>amend</w:t>
      </w:r>
      <w:r>
        <w:rPr>
          <w:rFonts w:ascii="Times New Roman" w:hAnsi="Times New Roman"/>
          <w:sz w:val="20"/>
        </w:rPr>
        <w:t>” as used herein with respect to the Registration Statement, the preliminary prospectus, the Time of Sale Prospectus or the Prospectus shall include all documents subsequently filed by the Company with the Commission pursuant to the Securities Exchange Act of 1934, as amended (the “</w:t>
      </w:r>
      <w:r>
        <w:rPr>
          <w:rFonts w:ascii="Times New Roman" w:hAnsi="Times New Roman"/>
          <w:b/>
          <w:sz w:val="20"/>
        </w:rPr>
        <w:t>Exchange Act</w:t>
      </w:r>
      <w:r>
        <w:rPr>
          <w:rFonts w:ascii="Times New Roman" w:hAnsi="Times New Roman"/>
          <w:sz w:val="20"/>
        </w:rPr>
        <w:t>”), that are deemed to be incorporated by reference therein. The “</w:t>
      </w:r>
      <w:r>
        <w:rPr>
          <w:rFonts w:ascii="Times New Roman" w:hAnsi="Times New Roman"/>
          <w:b/>
          <w:sz w:val="20"/>
        </w:rPr>
        <w:t>Time of Sale</w:t>
      </w:r>
      <w:r>
        <w:rPr>
          <w:rFonts w:ascii="Times New Roman" w:hAnsi="Times New Roman"/>
          <w:sz w:val="20"/>
        </w:rPr>
        <w:t xml:space="preserve">” means 8:15 p.m., New York City time, on May 13, 2026.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Representations and Warranties of the Company</w:t>
      </w:r>
      <w:r>
        <w:rPr>
          <w:rFonts w:ascii="Times New Roman" w:hAnsi="Times New Roman"/>
          <w:sz w:val="20"/>
        </w:rPr>
        <w:t xml:space="preserve">. The Company represents and warrants to and agrees with each of the Underwriters that, as of the date hereof, the Time of Sale and the Closing Date (as defined in Section 5): </w:t>
      </w:r>
    </w:p>
    <w:p>
      <w:pPr>
        <w:pStyle w:val="TextBody"/>
        <w:bidi w:val="0"/>
        <w:spacing w:before="120" w:after="0"/>
        <w:jc w:val="left"/>
        <w:rPr>
          <w:rFonts w:ascii="Times New Roman" w:hAnsi="Times New Roman"/>
          <w:sz w:val="20"/>
        </w:rPr>
      </w:pPr>
      <w:r>
        <w:rPr>
          <w:rFonts w:ascii="Times New Roman" w:hAnsi="Times New Roman"/>
          <w:sz w:val="20"/>
        </w:rPr>
        <w:t xml:space="preserve">(a) The Registration Statement has become effective; no stop order suspending the effectiveness of the Registration Statement is in effect, and no proceedings for such purpose or pursuant to Section 8A under the Securities Act are pending before or threatened by the Commission. </w:t>
      </w:r>
    </w:p>
    <w:p>
      <w:pPr>
        <w:pStyle w:val="TextBody"/>
        <w:bidi w:val="0"/>
        <w:spacing w:before="120" w:after="0"/>
        <w:jc w:val="left"/>
        <w:rPr>
          <w:rFonts w:ascii="Times New Roman" w:hAnsi="Times New Roman"/>
          <w:sz w:val="20"/>
        </w:rPr>
      </w:pPr>
      <w:r>
        <w:rPr>
          <w:rFonts w:ascii="Times New Roman" w:hAnsi="Times New Roman"/>
          <w:sz w:val="20"/>
        </w:rPr>
        <w:t xml:space="preserve">(b) (i) 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(ii) the Registration Statement, when it became effective, did not contain and, as amended or supplemented, if applicable, will not contain, any untrue statement of a material fact or omit to state a material fact required to be stated therein or necessary to make the statements therein not misleading, (iii) the Registration Statement and the Prospectus comply and, as amended or supplemented, if applicable, will comply in all material respects with the Securities Act and the applicable rules and regulations of the Commission thereunder, (iv) the Time of Sale Prospectus does not, and at the time of each sale of the Shares in connection with the offering when the Prospectus is not yet available to prospective purchasers and at the Closing Date, the Time of Sale Prospectus, as then amended or supplemented by the Company, if applicable, will not, contain any untrue statement of a material fact or omit to state a material fact necessary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make the statements therein, in the light of the circumstances under which they were made, not misleading, (v) each broadly available road show, if any, does not conflict with the Time of Sale Prospectus and, when considered together with the Time of Sale Prospectus, does not contain any untrue statement of a material fact or omit to state a material fact necessary to make the statements therein, in the light of the circumstances under which they were made, not misleading and (vi) the Prospectus does not contain and,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made in reliance upon and in conformity with information relating to any Underwriter furnished to the Company in writing by, or on behalf of, such Underwriter through Morgan Stanley expressly for use therein, it being understood and agreed that the only such information furnished by any Underwriter consists of the Underwriter Information (as defined in Section 11(c)). </w:t>
      </w:r>
    </w:p>
    <w:p>
      <w:pPr>
        <w:pStyle w:val="TextBody"/>
        <w:bidi w:val="0"/>
        <w:spacing w:before="120" w:after="0"/>
        <w:jc w:val="left"/>
        <w:rPr>
          <w:rFonts w:ascii="Times New Roman" w:hAnsi="Times New Roman"/>
          <w:sz w:val="20"/>
        </w:rPr>
      </w:pPr>
      <w:r>
        <w:rPr>
          <w:rFonts w:ascii="Times New Roman" w:hAnsi="Times New Roman"/>
          <w:sz w:val="20"/>
        </w:rPr>
        <w:t xml:space="preserve">(d) 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III hereto, and electronic road shows, if any, each furnished to Morgan Stanley before first use, the Company has not prepared, used or referred to, and will not, without Morgan Stanley’s prior consent, prepare, use or refer to, any free writing prospectus. </w:t>
      </w:r>
    </w:p>
    <w:p>
      <w:pPr>
        <w:pStyle w:val="TextBody"/>
        <w:bidi w:val="0"/>
        <w:spacing w:before="120" w:after="0"/>
        <w:jc w:val="left"/>
        <w:rPr>
          <w:rFonts w:ascii="Times New Roman" w:hAnsi="Times New Roman"/>
          <w:sz w:val="20"/>
        </w:rPr>
      </w:pPr>
      <w:r>
        <w:rPr>
          <w:rFonts w:ascii="Times New Roman" w:hAnsi="Times New Roman"/>
          <w:sz w:val="20"/>
        </w:rPr>
        <w:t>(e) The Company has been duly incorporated, is validly existing as a corporation in good standing under the laws of the jurisdiction of its incorporation, has the corporate power and authority to own or lease its property and to conduct its business as described in each of the Registration Statement, the Time of Sale Prospectus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singly or in the aggregate, have a material adverse effect on the condition, financial or otherwise, or on the earnings, business, operations or prospects of the Company and its subsidiaries, taken as a whole (a “</w:t>
      </w:r>
      <w:r>
        <w:rPr>
          <w:rFonts w:ascii="Times New Roman" w:hAnsi="Times New Roman"/>
          <w:b/>
          <w:sz w:val="20"/>
        </w:rPr>
        <w:t>material adverse effect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Each subsidiary of the Company has been duly incorporated, organized or formed, is validly existing as a corporation or other business entity in good standing under the laws of the jurisdiction of its incorporation, organization or formation, has the corporate or other business entity power and authority to own or lease its property and to conduct its business as described in each of the Registration Statement, the Time of Sale Prospectus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singly or in the aggregate, have a material adverse effect on the Company and its subsidiaries, taken as a whole; and all of the issued shares of capital stock or other equity interests of each subsidiary of the Company have been duly and validly authorized and issued, are fully paid and non-assessable and are owned directly or indirectly by the Company and free and clear of all liens, encumbrances, equities or claims. </w:t>
      </w:r>
    </w:p>
    <w:p>
      <w:pPr>
        <w:pStyle w:val="TextBody"/>
        <w:bidi w:val="0"/>
        <w:spacing w:before="120" w:after="0"/>
        <w:jc w:val="left"/>
        <w:rPr>
          <w:rFonts w:ascii="Times New Roman" w:hAnsi="Times New Roman"/>
          <w:sz w:val="20"/>
        </w:rPr>
      </w:pPr>
      <w:r>
        <w:rPr>
          <w:rFonts w:ascii="Times New Roman" w:hAnsi="Times New Roman"/>
          <w:sz w:val="20"/>
        </w:rPr>
        <w:t xml:space="preserve">(g) This Agreement and the performance by the Company of its obligations hereunder have been duly authorized by all necessary corporate action, and this Agreement has been duly executed and delivered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(h) The authorized capital stock of the Company conforms as to legal matters to the description thereof contained in each of the Registration Statement, the Time of Sale Prospectus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(i) The shares of Common Stock (including the Shares to be sold by the Selling Shareholder) outstanding prior to the issuance of the Shares to be sold by the Selling Shareholder and the Company have been duly authorized and are validly issued, fully paid and non-assessable. </w:t>
      </w:r>
    </w:p>
    <w:p>
      <w:pPr>
        <w:pStyle w:val="TextBody"/>
        <w:bidi w:val="0"/>
        <w:spacing w:before="120" w:after="0"/>
        <w:jc w:val="left"/>
        <w:rPr>
          <w:rFonts w:ascii="Times New Roman" w:hAnsi="Times New Roman"/>
          <w:sz w:val="20"/>
        </w:rPr>
      </w:pPr>
      <w:r>
        <w:rPr>
          <w:rFonts w:ascii="Times New Roman" w:hAnsi="Times New Roman"/>
          <w:sz w:val="20"/>
        </w:rPr>
        <w:t xml:space="preserve">(j) The Shares to be sold by the Company have been duly authorized and, when issued, delivered and paid for in accordance with the terms of this Agreement, will be validly issued, fully paid and non-assessable, and the issuance of the Shares will not be subject to any preemptive or similar rights. </w:t>
      </w:r>
    </w:p>
    <w:p>
      <w:pPr>
        <w:pStyle w:val="TextBody"/>
        <w:bidi w:val="0"/>
        <w:spacing w:before="120" w:after="0"/>
        <w:jc w:val="left"/>
        <w:rPr>
          <w:rFonts w:ascii="Times New Roman" w:hAnsi="Times New Roman"/>
          <w:sz w:val="20"/>
        </w:rPr>
      </w:pPr>
      <w:r>
        <w:rPr>
          <w:rFonts w:ascii="Times New Roman" w:hAnsi="Times New Roman"/>
          <w:sz w:val="20"/>
        </w:rPr>
        <w:t xml:space="preserve">(k) Neither the issuance and sale of the Shares by the Company nor the consummation of any other of the transactions herein contemplated nor the fulfillment of the terms herein will conflict with, result in a breach or violation of, or imposition of any lien, charge or encumbrance upon any property or assets of the Company or any of its subsidiaries pursuant to, (i) the charter or bylaws (or comparable organizational and governing documents) of the Company or any of its subsidiaries; (ii) the terms of any indenture, contract, lease, mortgage, deed of trust, note agreement, loan agreement or other agreement, obligation, condition, covenant or instrument to which the Company or any of its subsidiaries is a party or bound or to which its or their property is subject; or (iii) any statute, law, rule, regulation, judgment, order or decree applicable to the Company or any of its subsidiaries of any court, regulatory body, administrative agency, governmental body, arbitrator or other authority having jurisdiction over the Company or any of its subsidiaries or any of its or their properties, except in the case of the preceding clauses (ii) and (iii), a conflict, breach, violation or imposition that would not, individually or in the aggregate,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The Company and each of its subsidiaries owns or leases all such properties as are necessary to the conduct of its operations in all material respects as presently conducted. </w:t>
      </w:r>
    </w:p>
    <w:p>
      <w:pPr>
        <w:pStyle w:val="TextBody"/>
        <w:bidi w:val="0"/>
        <w:spacing w:before="120" w:after="0"/>
        <w:jc w:val="left"/>
        <w:rPr>
          <w:rFonts w:ascii="Times New Roman" w:hAnsi="Times New Roman"/>
          <w:sz w:val="20"/>
        </w:rPr>
      </w:pPr>
      <w:r>
        <w:rPr>
          <w:rFonts w:ascii="Times New Roman" w:hAnsi="Times New Roman"/>
          <w:sz w:val="20"/>
        </w:rPr>
        <w:t xml:space="preserve">(m) Neither the Company nor any subsidiary is in violation or default of (i) any provision of its charter or bylaws (or comparable organizational and governing documents);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of any court, regulatory body, administrative agency, governmental body, arbitrator or other authority having jurisdiction over the Company or such subsidiary or any of its properties, as applicable; except in the case of the preceding clauses (ii) and (iii), a conflict, breach, violation or imposition that would not, individually or in the aggregate,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(n) There has not occurred any material adverse change, or any development involving a prospective material adverse change, in the condition, financial or otherwise, or in the prospects, earnings, business, or properties of the Company and its subsidiaries, taken as a whole, whether or not arising from transactions in the ordinary course of business, from that set forth in the Time of Sale Prospectus. There has been no dividend or distribution of any kind declared, paid or made by the Company on any class of its capital stock. </w:t>
      </w:r>
    </w:p>
    <w:p>
      <w:pPr>
        <w:pStyle w:val="TextBody"/>
        <w:bidi w:val="0"/>
        <w:spacing w:before="120" w:after="0"/>
        <w:jc w:val="left"/>
        <w:rPr>
          <w:rFonts w:ascii="Times New Roman" w:hAnsi="Times New Roman"/>
          <w:sz w:val="20"/>
        </w:rPr>
      </w:pPr>
      <w:r>
        <w:rPr>
          <w:rFonts w:ascii="Times New Roman" w:hAnsi="Times New Roman"/>
          <w:sz w:val="20"/>
        </w:rPr>
        <w:t xml:space="preserve">(o) No action, suit or proceeding by or before any court or governmental agency, authority or body or any arbitrator involving the Company or any of its subsidiaries or its or their property is pending or, to the knowledge of the Company, threatened that individually or in the aggregate (i) could reasonably be expected to have a material adverse effect on the performance of this Agreement or the consummation of any of the transactions contemplated hereby or (ii) could reasonably be expected to have a material adverse effect. There are no current or pending legal, governmental, administrative or regulatory investigations, actions, suits, claims or proceedings that are required under the Securities Act to be described in the Time of Sale Prospectus or the Prospectus that are not so described in the Time of Sale Prospectus or the Prospectus. There are no statutes, regulations or contracts or other documents that are required under the Securities Act to be filed as exhibits to the Registration Statement or described in the Registration Statement, Time of Sale Prospectus or the Prospectus that are not so filed as exhibits to the Registration Statement or described in the Registration Statement, the Time of Sale Prospectus or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(p) Each preliminary prospectus filed as part of the Registration Statement as originally filed or as part of any amendment thereto, or filed pursuant to Rule 424 under the Securities Act, complied when filed and, at the Time of Sale and on the Closing Date, will comply, in all material respects with the Securities Act and the applicable rules and regulations of the Commission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 The Company is not, and after giving effect to the offering and sale of the Shares and the application of the proceeds thereof as described in each of the Registration Statement, the Time of Sale Prospectus and the Prospectus, will not be, required to register as an “investment company” as such term is defined in the Investment Company Act of 1940, as amended. </w:t>
      </w:r>
    </w:p>
    <w:p>
      <w:pPr>
        <w:pStyle w:val="TextBody"/>
        <w:bidi w:val="0"/>
        <w:spacing w:before="120" w:after="0"/>
        <w:jc w:val="left"/>
        <w:rPr>
          <w:rFonts w:ascii="Times New Roman" w:hAnsi="Times New Roman"/>
          <w:sz w:val="20"/>
        </w:rPr>
      </w:pPr>
      <w:r>
        <w:rPr>
          <w:rFonts w:ascii="Times New Roman" w:hAnsi="Times New Roman"/>
          <w:sz w:val="20"/>
        </w:rPr>
        <w:t xml:space="preserve">(r) Except as permitted under Regulation M under the Exchange Act, neither the Company nor an affiliate of the Company has taken, directly or indirectly, any action designed to cause or result in, or which has constituted or which would reasonably be expected to constitute, the stabilization or manipulation of the price of any Shares of the Company, to facilitate the sale or resale of the Shares. </w:t>
      </w:r>
    </w:p>
    <w:p>
      <w:pPr>
        <w:pStyle w:val="TextBody"/>
        <w:bidi w:val="0"/>
        <w:spacing w:before="120" w:after="0"/>
        <w:jc w:val="left"/>
        <w:rPr>
          <w:rFonts w:ascii="Times New Roman" w:hAnsi="Times New Roman"/>
          <w:sz w:val="20"/>
        </w:rPr>
      </w:pPr>
      <w:r>
        <w:rPr>
          <w:rFonts w:ascii="Times New Roman" w:hAnsi="Times New Roman"/>
          <w:sz w:val="20"/>
        </w:rPr>
        <w:t xml:space="preserve">(s) Except as set forth in or contemplated in the Prospectus (exclusive of any amendment or supplement thereto), the Company (i) does not have any material lending or other relationship with any bank or lending affiliate of any Underwriter, and (ii) does not intend to use any of the proceeds from the sale of the Shares to repay any outstanding debt owed to any affiliate of any Underwriter. </w:t>
      </w:r>
    </w:p>
    <w:p>
      <w:pPr>
        <w:pStyle w:val="TextBody"/>
        <w:bidi w:val="0"/>
        <w:spacing w:before="120" w:after="0"/>
        <w:jc w:val="left"/>
        <w:rPr>
          <w:rFonts w:ascii="Times New Roman" w:hAnsi="Times New Roman"/>
          <w:sz w:val="20"/>
        </w:rPr>
      </w:pPr>
      <w:r>
        <w:rPr>
          <w:rFonts w:ascii="Times New Roman" w:hAnsi="Times New Roman"/>
          <w:sz w:val="20"/>
        </w:rPr>
        <w:t>(t) The Company and its subsidiaries are (i) in material compliance with any and all applicable foreign, federal, state and local laws and regulations relating to the protection of human health and safety, the environment or hazardous or toxic substances or wastes, pollutants or contaminants (“</w:t>
      </w:r>
      <w:r>
        <w:rPr>
          <w:rFonts w:ascii="Times New Roman" w:hAnsi="Times New Roman"/>
          <w:b/>
          <w:sz w:val="20"/>
        </w:rPr>
        <w:t>Environmental Laws</w:t>
      </w:r>
      <w:r>
        <w:rPr>
          <w:rFonts w:ascii="Times New Roman" w:hAnsi="Times New Roman"/>
          <w:sz w:val="20"/>
        </w:rPr>
        <w:t xml:space="preserve">”); (ii) have received and are in compliance with all material permits, licenses or other approvals required of them under applicable Environmental Laws to conduct their respective businesses; and (iii) have not received notice of any actual or potential liability under any Environmental Law, except where such non-compliance with Environmental Laws, failure to receive required permits, licenses or other approvals, or liability would not, individually or in the aggregate, reasonably be expected to have a material adverse effect, except as set forth in or contemplated in the Time of Sale Prospectus and the Prospectus (exclusive of any amendment or supplement thereto). Neither the Company nor any of the subsidiaries has been named as a “potentially responsible party” under the Comprehensive Environmental Response, Compensation, and Liability Act of 1980, as amended. </w:t>
      </w:r>
    </w:p>
    <w:p>
      <w:pPr>
        <w:pStyle w:val="TextBody"/>
        <w:bidi w:val="0"/>
        <w:spacing w:before="120" w:after="0"/>
        <w:jc w:val="left"/>
        <w:rPr>
          <w:rFonts w:ascii="Times New Roman" w:hAnsi="Times New Roman"/>
          <w:sz w:val="20"/>
        </w:rPr>
      </w:pPr>
      <w:r>
        <w:rPr>
          <w:rFonts w:ascii="Times New Roman" w:hAnsi="Times New Roman"/>
          <w:sz w:val="20"/>
        </w:rPr>
        <w:t xml:space="preserve">(u) In the ordinary course of its business, the Company periodically reviews the effect of Environmental Laws on the business, operations and properties of the Company and its subsidiaries, in the course of which it identifies and evaluates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On the basis of such review, the Company has reasonably concluded that such associated costs and liabilities would not, individually or in the aggregate, reasonably be expected to have a material adverse effect, except as set forth in or contemplated in the Time of Sale Prospectus and the Prospectus (exclusive of any amendment or supplement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(v) None of the following events has occurred or exists that would, individually or in the aggregate, reasonably be expected to have a material adverse effect: (i) a failure to fulfill the obligations, if any, under the minimum funding standards of Section 302 of the United States Employee Retirement Income Security Act of 1974, as amended (“</w:t>
      </w:r>
      <w:r>
        <w:rPr>
          <w:rFonts w:ascii="Times New Roman" w:hAnsi="Times New Roman"/>
          <w:b/>
          <w:sz w:val="20"/>
        </w:rPr>
        <w:t>ERISA</w:t>
      </w:r>
      <w:r>
        <w:rPr>
          <w:rFonts w:ascii="Times New Roman" w:hAnsi="Times New Roman"/>
          <w:sz w:val="20"/>
        </w:rPr>
        <w:t>”), and the regulations and published interpretations thereunder with respect to a Plan, determined without regard to any waiver of such obligations or extension of any amortization period; (ii) an audit or investigation by the Internal Revenue Service, the U.S. Department of Labor, the Pension Benefit Guaranty Corporation or any other federal or state governmental agency or any foreign regulatory agency with respect to the employment or compensation of employees by any of the Company or any of its subsidiaries; (iii) any breach of any contractual obligation, or any violation of law or applicable qualification standards, with respect to the employment or compensation of employees by the Company or any of its subsidiaries. None of the following events has occurred or is reasonably likely to occur that would, individually or in the aggregate, reasonably be expected to have a material adverse effect: (A) an increase in the aggregate amount of contributions required to be made to all Plans in the current fiscal year of the Company and its subsidiaries compared to the amount of such contributions made in the most recently completed fiscal year of the Company and its subsidiaries; (B) an increase in the “accumulated post-retirement benefit obligations” (within the meaning of Statement of Financial Accounting Standards 106) of the Company and its subsidiaries compared to the amount of such obligations in the most recently completed fiscal year of the Company and its subsidiaries; (C) any event or condition giving rise to a liability under Title IV of ERISA; or (D) the filing of a claim by one or more employees or former employees of the Company or any of its subsidiaries related to their employment. For purposes of this Section 1(v), the term “</w:t>
      </w:r>
      <w:r>
        <w:rPr>
          <w:rFonts w:ascii="Times New Roman" w:hAnsi="Times New Roman"/>
          <w:b/>
          <w:sz w:val="20"/>
        </w:rPr>
        <w:t>Plan</w:t>
      </w:r>
      <w:r>
        <w:rPr>
          <w:rFonts w:ascii="Times New Roman" w:hAnsi="Times New Roman"/>
          <w:sz w:val="20"/>
        </w:rPr>
        <w:t xml:space="preserve">” means a plan (within the meaning of Section 3(3) of ERISA) subject to Title IV of ERISA with respect to which the Company or any of its subsidiaries may have any liability. </w:t>
      </w:r>
    </w:p>
    <w:p>
      <w:pPr>
        <w:pStyle w:val="TextBody"/>
        <w:bidi w:val="0"/>
        <w:spacing w:before="120" w:after="0"/>
        <w:jc w:val="left"/>
        <w:rPr>
          <w:rFonts w:ascii="Times New Roman" w:hAnsi="Times New Roman"/>
          <w:sz w:val="20"/>
        </w:rPr>
      </w:pPr>
      <w:r>
        <w:rPr>
          <w:rFonts w:ascii="Times New Roman" w:hAnsi="Times New Roman"/>
          <w:sz w:val="20"/>
        </w:rPr>
        <w:t xml:space="preserve">(w)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 except for that certain Stockholder Agreement by and between the Company and Advantest America, Inc., dated as of July 30, 2020, and that certain Securities Purchase Agreement by and between the Company and Advantest America, Inc., dated as of July 29, 2020, pursuant to which the Selling Shareholder has proposed to sell the Firm Shares as described above. </w:t>
      </w:r>
    </w:p>
    <w:p>
      <w:pPr>
        <w:pStyle w:val="TextBody"/>
        <w:bidi w:val="0"/>
        <w:spacing w:before="120" w:after="0"/>
        <w:jc w:val="left"/>
        <w:rPr>
          <w:rFonts w:ascii="Times New Roman" w:hAnsi="Times New Roman"/>
          <w:sz w:val="20"/>
        </w:rPr>
      </w:pPr>
      <w:r>
        <w:rPr>
          <w:rFonts w:ascii="Times New Roman" w:hAnsi="Times New Roman"/>
          <w:sz w:val="20"/>
        </w:rPr>
        <w:t>(x) Neither the Company nor any of its subsidiaries or affiliates, nor any director, officer, or employee thereof, nor, to the Company’s knowledge, any agent or representative of the Company or of any of its subsidiaries or affiliates, has knowingly taken or will take any action in furtherance of an offer, payment, promise to pay, or authorization or approval of the payment, giving or receipt of money, property, gifts or anything else of value, directly or indirectly, to any person to improperly influence official action by that person for the benefit of the Company or its subsidiaries or affiliates, or to otherwise secure any improper advantage, or to any person in violation of (a) the U.S. Foreign Corrupt Practices Act of 1977, (b) the UK Bribery Act 2010, or (c) any other applicable law, regulation, order, decree or directive having the force of law and relating to bribery or corruption (collectively, the “</w:t>
      </w:r>
      <w:r>
        <w:rPr>
          <w:rFonts w:ascii="Times New Roman" w:hAnsi="Times New Roman"/>
          <w:b/>
          <w:sz w:val="20"/>
        </w:rPr>
        <w:t>Anti-Corruption Laws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(y) The operations of the Company and each of its subsidiaries are and have been conducted at all times in compliance with all applicable anti-money laundering laws, rules, and regulations, including the financial recordkeeping and reporting requirements contained therein, and including the Bank Secrecy Act of 1970, applicable provisions of the USA PATRIOT Act of 2001, the Money Laundering Control Act of 1986, and the Anti-Money Laundering Act of 2020 (collectively, the “</w:t>
      </w:r>
      <w:r>
        <w:rPr>
          <w:rFonts w:ascii="Times New Roman" w:hAnsi="Times New Roman"/>
          <w:b/>
          <w:sz w:val="20"/>
        </w:rPr>
        <w:t>Anti-Money Laundering Laws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(z) (i) Neither the Company nor any of its subsidiaries or affiliates, nor any director, officer, or employee thereof, nor, to the Company’s knowledge, any agent or representative of the Company or of any of its subsidiaries or affiliates, is an individual or entity (“</w:t>
      </w:r>
      <w:r>
        <w:rPr>
          <w:rFonts w:ascii="Times New Roman" w:hAnsi="Times New Roman"/>
          <w:b/>
          <w:sz w:val="20"/>
        </w:rPr>
        <w:t>Person</w:t>
      </w:r>
      <w:r>
        <w:rPr>
          <w:rFonts w:ascii="Times New Roman" w:hAnsi="Times New Roman"/>
          <w:sz w:val="20"/>
        </w:rPr>
        <w:t xml:space="preserve">”) that is: </w:t>
      </w:r>
    </w:p>
    <w:p>
      <w:pPr>
        <w:pStyle w:val="TextBody"/>
        <w:bidi w:val="0"/>
        <w:spacing w:before="120" w:after="0"/>
        <w:jc w:val="left"/>
        <w:rPr>
          <w:rFonts w:ascii="Times New Roman" w:hAnsi="Times New Roman"/>
          <w:sz w:val="20"/>
        </w:rPr>
      </w:pPr>
      <w:r>
        <w:rPr>
          <w:rFonts w:ascii="Times New Roman" w:hAnsi="Times New Roman"/>
          <w:sz w:val="20"/>
        </w:rPr>
        <w:t>(A) (1) the subject of any sanctions administered or enforced by the United States Government (including the U.S. List of Specially Designated Nationals and Blocked Persons (“</w:t>
      </w:r>
      <w:r>
        <w:rPr>
          <w:rFonts w:ascii="Times New Roman" w:hAnsi="Times New Roman"/>
          <w:b/>
          <w:sz w:val="20"/>
        </w:rPr>
        <w:t>SDN List</w:t>
      </w:r>
      <w:r>
        <w:rPr>
          <w:rFonts w:ascii="Times New Roman" w:hAnsi="Times New Roman"/>
          <w:sz w:val="20"/>
        </w:rPr>
        <w:t>”), the U.S. Entity List, and the U.S. Denied Persons List, administered or enforced by any U.S. government body, including without limitation, the U.S. Department of the Treasury’s Office of Foreign Assets Control (“</w:t>
      </w:r>
      <w:r>
        <w:rPr>
          <w:rFonts w:ascii="Times New Roman" w:hAnsi="Times New Roman"/>
          <w:b/>
          <w:sz w:val="20"/>
        </w:rPr>
        <w:t>OFAC</w:t>
      </w:r>
      <w:r>
        <w:rPr>
          <w:rFonts w:ascii="Times New Roman" w:hAnsi="Times New Roman"/>
          <w:sz w:val="20"/>
        </w:rPr>
        <w:t>”), the U.S. Department of State, and the U.S. Department of Commerce’s Bureau of Industry and Security (“</w:t>
      </w:r>
      <w:r>
        <w:rPr>
          <w:rFonts w:ascii="Times New Roman" w:hAnsi="Times New Roman"/>
          <w:b/>
          <w:sz w:val="20"/>
        </w:rPr>
        <w:t>BIS</w:t>
      </w:r>
      <w:r>
        <w:rPr>
          <w:rFonts w:ascii="Times New Roman" w:hAnsi="Times New Roman"/>
          <w:sz w:val="20"/>
        </w:rPr>
        <w:t>”)), the United Nations Security Council, the European Union, His Majesty’s Treasury, or any other relevant sanctions authority (collectively, “</w:t>
      </w:r>
      <w:r>
        <w:rPr>
          <w:rFonts w:ascii="Times New Roman" w:hAnsi="Times New Roman"/>
          <w:b/>
          <w:sz w:val="20"/>
        </w:rPr>
        <w:t>Sanctions</w:t>
      </w:r>
      <w:r>
        <w:rPr>
          <w:rFonts w:ascii="Times New Roman" w:hAnsi="Times New Roman"/>
          <w:sz w:val="20"/>
        </w:rPr>
        <w:t>”) or (2) in violation of “</w:t>
      </w:r>
      <w:r>
        <w:rPr>
          <w:rFonts w:ascii="Times New Roman" w:hAnsi="Times New Roman"/>
          <w:b/>
          <w:sz w:val="20"/>
        </w:rPr>
        <w:t>Export</w:t>
      </w:r>
      <w:r>
        <w:rPr>
          <w:rFonts w:ascii="Times New Roman" w:hAnsi="Times New Roman"/>
          <w:sz w:val="20"/>
        </w:rPr>
        <w:t> </w:t>
      </w:r>
      <w:r>
        <w:rPr>
          <w:rFonts w:ascii="Times New Roman" w:hAnsi="Times New Roman"/>
          <w:b/>
          <w:sz w:val="20"/>
        </w:rPr>
        <w:t>Controls</w:t>
      </w:r>
      <w:r>
        <w:rPr>
          <w:rFonts w:ascii="Times New Roman" w:hAnsi="Times New Roman"/>
          <w:sz w:val="20"/>
        </w:rPr>
        <w:t xml:space="preserve">” (meaning all export control laws and regulations administered or enforced by the United States Government (including by BIS or the U.S. Department of State), including the Arms Export Control Act (22 U.S.C. § 2778), the Export Control Reform Act of 2018 (50 U.S.C. §§ 4801-4861), the International Traffic in Arms Regulations (22 C.F.R. Parts 120-130), and the Export Administration Regulations (15 C.F.R. Parts 730-774); and any other relevant governmental authority, including (to the extent applicable) EU Regulation 2021/821 (as amended), the Export Control Order 2008, or any other applicable export control legislation or regulation (to the extent consistent with U.S. law); </w:t>
      </w:r>
    </w:p>
    <w:p>
      <w:pPr>
        <w:pStyle w:val="TextBody"/>
        <w:bidi w:val="0"/>
        <w:spacing w:before="120" w:after="0"/>
        <w:jc w:val="left"/>
        <w:rPr>
          <w:rFonts w:ascii="Times New Roman" w:hAnsi="Times New Roman"/>
          <w:sz w:val="20"/>
        </w:rPr>
      </w:pPr>
      <w:r>
        <w:rPr>
          <w:rFonts w:ascii="Times New Roman" w:hAnsi="Times New Roman"/>
          <w:sz w:val="20"/>
        </w:rPr>
        <w:t>(B) located, organized or resident in a country or territory that is the subject of comprehensive territorial Sanctions (“</w:t>
      </w:r>
      <w:r>
        <w:rPr>
          <w:rFonts w:ascii="Times New Roman" w:hAnsi="Times New Roman"/>
          <w:b/>
          <w:sz w:val="20"/>
        </w:rPr>
        <w:t>Sanctioned Territory</w:t>
      </w:r>
      <w:r>
        <w:rPr>
          <w:rFonts w:ascii="Times New Roman" w:hAnsi="Times New Roman"/>
          <w:sz w:val="20"/>
        </w:rPr>
        <w:t xml:space="preserve">”) (including, without limitation, the so-called Donetsk People’s Republic, the so-called Luhansk People’s Republic, or any other Covered Region of Ukraine identified pursuant to Executive Order 14065, Crimea, Kherson, Zaporizhzia, Cuba, Iran, and North Korea); </w:t>
      </w:r>
    </w:p>
    <w:p>
      <w:pPr>
        <w:pStyle w:val="TextBody"/>
        <w:bidi w:val="0"/>
        <w:spacing w:before="120" w:after="0"/>
        <w:jc w:val="left"/>
        <w:rPr>
          <w:rFonts w:ascii="Times New Roman" w:hAnsi="Times New Roman"/>
          <w:sz w:val="20"/>
        </w:rPr>
      </w:pPr>
      <w:r>
        <w:rPr>
          <w:rFonts w:ascii="Times New Roman" w:hAnsi="Times New Roman"/>
          <w:sz w:val="20"/>
        </w:rPr>
        <w:t xml:space="preserve">(C) the government of a Sanctioned Territory;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directly or indirectly, whether individually or in the aggregate, at least fifty percent (50%) owned or otherwise controlled by, or acting for or on behalf of, any Person described in the foregoing clause (A), (B), or (C). </w:t>
      </w:r>
    </w:p>
    <w:p>
      <w:pPr>
        <w:pStyle w:val="TextBody"/>
        <w:bidi w:val="0"/>
        <w:spacing w:before="120" w:after="0"/>
        <w:jc w:val="left"/>
        <w:rPr>
          <w:rFonts w:ascii="Times New Roman" w:hAnsi="Times New Roman"/>
          <w:sz w:val="20"/>
        </w:rPr>
      </w:pPr>
      <w:r>
        <w:rPr>
          <w:rFonts w:ascii="Times New Roman" w:hAnsi="Times New Roman"/>
          <w:sz w:val="20"/>
        </w:rPr>
        <w:t xml:space="preserve">(ii) The Company and each of its subsidiaries (a) have not, since April 24, 2019, engaged in, (b) are not now engaged in, and (c) will not engage in, any dealings or transactions with any Person that, at the time of the dealing or transaction, is or was the target of Sanctions, or with or involving a country or territory or government that, at the time of the dealing or transaction, is or was a Sanctioned Territory or the government of a Sanctioned Territory, as applicable. </w:t>
      </w:r>
    </w:p>
    <w:p>
      <w:pPr>
        <w:pStyle w:val="TextBody"/>
        <w:bidi w:val="0"/>
        <w:spacing w:before="120" w:after="0"/>
        <w:jc w:val="left"/>
        <w:rPr>
          <w:rFonts w:ascii="Times New Roman" w:hAnsi="Times New Roman"/>
          <w:sz w:val="20"/>
        </w:rPr>
      </w:pPr>
      <w:r>
        <w:rPr>
          <w:rFonts w:ascii="Times New Roman" w:hAnsi="Times New Roman"/>
          <w:sz w:val="20"/>
        </w:rPr>
        <w:t xml:space="preserve">(aa) The Company will not, directly or indirectly, use the proceeds of the offering, or lend, contribute or otherwise make available such proceeds to any subsidiary, joint venture partner or other Person: </w:t>
      </w:r>
    </w:p>
    <w:p>
      <w:pPr>
        <w:pStyle w:val="TextBody"/>
        <w:bidi w:val="0"/>
        <w:spacing w:before="120" w:after="0"/>
        <w:jc w:val="left"/>
        <w:rPr>
          <w:rFonts w:ascii="Times New Roman" w:hAnsi="Times New Roman"/>
          <w:sz w:val="20"/>
        </w:rPr>
      </w:pPr>
      <w:r>
        <w:rPr>
          <w:rFonts w:ascii="Times New Roman" w:hAnsi="Times New Roman"/>
          <w:sz w:val="20"/>
        </w:rPr>
        <w:t xml:space="preserve">(i) to fund or facilitate any activities or business of or with any Person that is the target of Sanctions or Export Controls, or with or involving a Sanctioned Territory or the government of a Sanctioned Territory; </w:t>
      </w:r>
    </w:p>
    <w:p>
      <w:pPr>
        <w:pStyle w:val="TextBody"/>
        <w:bidi w:val="0"/>
        <w:spacing w:before="120" w:after="0"/>
        <w:jc w:val="left"/>
        <w:rPr>
          <w:rFonts w:ascii="Times New Roman" w:hAnsi="Times New Roman"/>
          <w:sz w:val="20"/>
        </w:rPr>
      </w:pPr>
      <w:r>
        <w:rPr>
          <w:rFonts w:ascii="Times New Roman" w:hAnsi="Times New Roman"/>
          <w:sz w:val="20"/>
        </w:rPr>
        <w:t xml:space="preserve">(ii) to fund or facilitate any money laundering or terrorist financing activities; or </w:t>
      </w:r>
    </w:p>
    <w:p>
      <w:pPr>
        <w:pStyle w:val="TextBody"/>
        <w:bidi w:val="0"/>
        <w:spacing w:before="120" w:after="0"/>
        <w:jc w:val="left"/>
        <w:rPr>
          <w:rFonts w:ascii="Times New Roman" w:hAnsi="Times New Roman"/>
          <w:sz w:val="20"/>
        </w:rPr>
      </w:pPr>
      <w:r>
        <w:rPr>
          <w:rFonts w:ascii="Times New Roman" w:hAnsi="Times New Roman"/>
          <w:sz w:val="20"/>
        </w:rPr>
        <w:t xml:space="preserve">(iii) in any other manner that would cause or result in a violation of any Anti-Corruption Laws, Anti-Money Laundering Laws, Sanctions or Export Controls by any Person (including any Person participating in the offering, whether as underwriter, advisor, investor or otherwise). </w:t>
      </w:r>
    </w:p>
    <w:p>
      <w:pPr>
        <w:pStyle w:val="TextBody"/>
        <w:bidi w:val="0"/>
        <w:spacing w:before="120" w:after="0"/>
        <w:jc w:val="left"/>
        <w:rPr>
          <w:rFonts w:ascii="Times New Roman" w:hAnsi="Times New Roman"/>
          <w:sz w:val="20"/>
        </w:rPr>
      </w:pPr>
      <w:r>
        <w:rPr>
          <w:rFonts w:ascii="Times New Roman" w:hAnsi="Times New Roman"/>
          <w:sz w:val="20"/>
        </w:rPr>
        <w:t xml:space="preserve">(bb) The Company and its subsidiaries have conducted and will conduct their businesses in compliance with the Anti-Corruption Laws, the Anti-Money Laundering Laws, Sanctions and Export Controls, and no investigation, inquiry, action, suit or proceeding by or before any court or governmental agency, authority or body or any arbitrator involving the Company or any of its subsidiaries with respect to the Anti-Corruption Laws, the Anti-Money Laundering Laws, Sanctions or Export Controls is pending or, to the knowledge of the Company, threatened. The Company and its subsidiaries and affiliates have instituted and maintained and will continue to maintain policies and procedures reasonably designed to promote and achieve compliance with the Anti-Corruption Laws, the Anti-Money Laundering Laws, Sanctions, Export Controls, and with the representations and warranties contained herein. </w:t>
      </w:r>
    </w:p>
    <w:p>
      <w:pPr>
        <w:pStyle w:val="TextBody"/>
        <w:bidi w:val="0"/>
        <w:spacing w:before="120" w:after="0"/>
        <w:jc w:val="left"/>
        <w:rPr>
          <w:rFonts w:ascii="Times New Roman" w:hAnsi="Times New Roman"/>
          <w:sz w:val="20"/>
        </w:rPr>
      </w:pPr>
      <w:r>
        <w:rPr>
          <w:rFonts w:ascii="Times New Roman" w:hAnsi="Times New Roman"/>
          <w:sz w:val="20"/>
        </w:rPr>
        <w:t xml:space="preserve">(cc) The Company will not, and will not permit any of its subsidiaries to, (a) be or become a “covered foreign person”, as that term is defined in the regulations administered and enforced, together with any related public guidance issued, by the United States Treasury Department under U.S. Executive Order 14105 of August 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2023, or any similar law or regulation; as of the date of this Agreement, and as codified at 31 C.F.R. §850.101 et seq (the “</w:t>
      </w:r>
      <w:r>
        <w:rPr>
          <w:rFonts w:ascii="Times New Roman" w:hAnsi="Times New Roman"/>
          <w:b/>
          <w:sz w:val="20"/>
        </w:rPr>
        <w:t>Outbound Investment Rules</w:t>
      </w:r>
      <w:r>
        <w:rPr>
          <w:rFonts w:ascii="Times New Roman" w:hAnsi="Times New Roman"/>
          <w:sz w:val="20"/>
        </w:rPr>
        <w:t xml:space="preserve">”), or (b) engage, directly or indirectly, in (i) a “covered activity” or a “covered transaction”, as each such term is defined in the Outbound Investment Rules, (ii) with respect to any subsidiary of the Company that is not a U.S. Person (as defined in the Outbound Investment Rules), any activity that would constitute a “covered activity” or “covered transaction”, as each such term is defined in the Outbound Investment Rules, if such subsidiary were a U.S. Person, (iii) any other activity that would cause the Underwriters to be in violation of the Outbound Investment Rules or cause the Underwriters to be legally prohibited by the Outbound Investment Rules from performing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(dd) The Company and each of its subsidiaries do not own any real property. Except as set forth in or contemplated in the Time of Sale Prospectus and the Prospectus (exclusive of any amendment or supplement thereto), the Company and each of its subsidiaries have good and marketable title to all personal property owned by them (other than with respect to Intellectual Property, title to which is addressed exclusively in Section 1(ee) herein) which is material to the business of the Company and its subsidiaries, in each case free and clear of all liens, encumbrances and defects except such as do not materially affect the value of such property and do not interfere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materially interfere with the use made and proposed to be made of such property and buildings by the Company and its subsidiaries. </w:t>
      </w:r>
    </w:p>
    <w:p>
      <w:pPr>
        <w:pStyle w:val="TextBody"/>
        <w:bidi w:val="0"/>
        <w:spacing w:before="120" w:after="0"/>
        <w:jc w:val="left"/>
        <w:rPr>
          <w:rFonts w:ascii="Times New Roman" w:hAnsi="Times New Roman"/>
          <w:sz w:val="20"/>
        </w:rPr>
      </w:pPr>
      <w:r>
        <w:rPr>
          <w:rFonts w:ascii="Times New Roman" w:hAnsi="Times New Roman"/>
          <w:sz w:val="20"/>
        </w:rPr>
        <w:t>(ee) (i) the Company and its subsidiaries own, possess, license or have other adequate, valid and enforceable rights to use all patents, trade and service marks, trade names, service names, trade dress, domain names, social media identifiers and accounts, copyrights, software (including artificial intelligence (“</w:t>
      </w:r>
      <w:r>
        <w:rPr>
          <w:rFonts w:ascii="Times New Roman" w:hAnsi="Times New Roman"/>
          <w:b/>
          <w:sz w:val="20"/>
        </w:rPr>
        <w:t>AI</w:t>
      </w:r>
      <w:r>
        <w:rPr>
          <w:rFonts w:ascii="Times New Roman" w:hAnsi="Times New Roman"/>
          <w:sz w:val="20"/>
        </w:rPr>
        <w:t>”) systems, tools and related technology), licenses, inventions, trade secrets, technology, know-how (including all unpatented and/or unpatentable proprietary or confidential information, systems or procedures), and all other intellectual property or similar proprietary or industrial rights in any and all applicable jurisdictions throughout the world (including all registrations and applications for registration of, and all goodwill associated with, any of the foregoing) (collectively, the “</w:t>
      </w:r>
      <w:r>
        <w:rPr>
          <w:rFonts w:ascii="Times New Roman" w:hAnsi="Times New Roman"/>
          <w:b/>
          <w:sz w:val="20"/>
        </w:rPr>
        <w:t>Intellectual Property</w:t>
      </w:r>
      <w:r>
        <w:rPr>
          <w:rFonts w:ascii="Times New Roman" w:hAnsi="Times New Roman"/>
          <w:sz w:val="20"/>
        </w:rPr>
        <w:t xml:space="preserve">”) used in, or otherwise reasonably necessary for the conduct of, their respective businesses as now conducted by them and they can readily obtain such rights, on commercially reasonable terms, with respect to their respective businesses as proposed in the Time of Sale Prospectus and Prospectus to be conducted by them, except where the failure to own or possess or otherwise be able to acquire such Intellectual Property would not, individually or in the aggregate, reasonably be expected to have a material adverse effect; (ii) there are no rights of third parties in or to any such Intellectual Property owned by the Company or any of its subsidiaries; (iii) to the Company’s knowledge, there is and has been no material infringement, misappropriation or other violation by third parties of any Intellectual Property owned by or, to the knowledge of the Company, exclusively licensed to the Company or any of its subsidiaries; (iv) there is no pending or,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Company’s knowledge, threatened action, suit, proceeding or claim by others challenging in writing the Company’s ownership of or rights in or to any such Intellectual Property, as applicable; (v) there is no pending or, to the Company’s knowledge, threatened action, suit, proceeding or claim by others challenging in writing the validity, enforceability, or scope of any such Intellectual Property; (vi) the Company’s and its subsidiaries’ conduct of their respective businesses has not infringed, misappropriated or otherwise violated any Intellectual Property of any third party in any material respect, and the conduct of their respective businesses as now conducted by them does not, infringe, misappropriate or otherwise violate any Intellectual Property, other than as would individually or in the aggregate, reasonably be expected to have a material adverse effect; (vii) there is no pending or, to the Company’s knowledge, threatened action, suit, proceeding or claim by others alleging in writing that the Company or its subsidiaries infringes, misappropriates or otherwise violates any Intellectual Property or other proprietary rights of others, which infringement, misappropriation or other violation, that would individually or in the aggregate, reasonably be expected to have a material adverse effect; (viii) all Intellectual Property owned by or, to the Company’s knowledge, licensed to the Company or its subsidiaries is subsisting and, to the Company’s knowledge, valid and enforceable; (ix) the Company and its subsidiaries take and have taken reasonable steps in accordance with customary practices of the industries in which the Company and its subsidiaries operate to maintain the confidentiality of all trade secrets of the Company or any of its subsidiaries, and, to the Company’s knowledge, no such trade secrets have been disclosed other than as required by law or pursuant to written confidentiality agreements or other written confidentiality obligations (or comparable obligations of confidentiality) that protect all such trade secrets; and (x) all employees and contractors engaged in the development of material Intellectual Property by or on behalf of the Company or any subsidiary of the Company have executed an invention assignment agreement whereby such employees or contractors presently assign all of their right, title and interest in and to all such Intellectual Property to the Company or the applicable subsidiary and, to the knowledge of the Company, no such agreement has been breached or violated in any material respect. </w:t>
      </w:r>
    </w:p>
    <w:p>
      <w:pPr>
        <w:pStyle w:val="TextBody"/>
        <w:bidi w:val="0"/>
        <w:spacing w:before="120" w:after="0"/>
        <w:jc w:val="left"/>
        <w:rPr>
          <w:rFonts w:ascii="Times New Roman" w:hAnsi="Times New Roman"/>
          <w:sz w:val="20"/>
        </w:rPr>
      </w:pPr>
      <w:r>
        <w:rPr>
          <w:rFonts w:ascii="Times New Roman" w:hAnsi="Times New Roman"/>
          <w:sz w:val="20"/>
        </w:rPr>
        <w:t>(ff) With respect to artificial intelligence, advanced machine learning or other similar generative models (collectively, “</w:t>
      </w:r>
      <w:r>
        <w:rPr>
          <w:rFonts w:ascii="Times New Roman" w:hAnsi="Times New Roman"/>
          <w:b/>
          <w:sz w:val="20"/>
        </w:rPr>
        <w:t>AI Tools</w:t>
      </w:r>
      <w:r>
        <w:rPr>
          <w:rFonts w:ascii="Times New Roman" w:hAnsi="Times New Roman"/>
          <w:sz w:val="20"/>
        </w:rPr>
        <w:t xml:space="preserve">”), except as would not, individually or in the aggregate, reasonably be expected to have a material adverse effect, the Company and its subsidiaries (i) use AI Tools in compliance with all applicable license terms, consents, agreements and laws; (ii) have not used AI Tools in a manner that adversely affects the ownership, validity, or enforceability of any Company IP or any output created by such AI Tool that the Company intended to own or would have owned if created without the use of such AI Tool; and (iii) have not included and do not include any Data, trade secrets or material confidential or proprietary information in any prompts or inputs into any AI Tools.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(gg) The Company and each of its subsidiaries use and have used any and all software distributed under a “free,” “open source,” or similar licensing model (including but not limited to the MIT License, Apache License, GNU General Public License, GNU Lesser General Public License and GNU Affero General Public License) (“</w:t>
      </w:r>
      <w:r>
        <w:rPr>
          <w:rFonts w:ascii="Times New Roman" w:hAnsi="Times New Roman"/>
          <w:b/>
          <w:sz w:val="20"/>
          <w:u w:val="single"/>
        </w:rPr>
        <w:t>Open Source</w:t>
      </w:r>
      <w:r>
        <w:rPr>
          <w:rFonts w:ascii="Times New Roman" w:hAnsi="Times New Roman"/>
          <w:sz w:val="20"/>
          <w:u w:val="single"/>
        </w:rPr>
        <w:t> </w:t>
      </w:r>
      <w:r>
        <w:rPr>
          <w:rFonts w:ascii="Times New Roman" w:hAnsi="Times New Roman"/>
          <w:b/>
          <w:sz w:val="20"/>
          <w:u w:val="single"/>
        </w:rPr>
        <w:t>Software</w:t>
      </w:r>
      <w:r>
        <w:rPr>
          <w:rFonts w:ascii="Times New Roman" w:hAnsi="Times New Roman"/>
          <w:sz w:val="20"/>
        </w:rPr>
        <w:t xml:space="preserve">”) in compliance with the license terms applicable to such Open Source Software, except where a failure to comply would not, individually or in the aggregate, reasonably be expected to have a material adverse effect, and neither the Company nor any of its subsidiaries uses or distributes or has used or distributed any Open Source Software in any manner that requires or has required (i) the Company or any of its subsidiaries to permit any reverse engineering of any software, code or other technology owned by the Company or any of its subsidiaries; or (ii) any software, code or other technology owned by the Company or any of its subsidiaries to be (A) disclosed or distributed in source code form; (B) licensed for the purpose of making derivative works or (C) redistributed at no charge,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in the case of each of (i) and (ii) above, as would not, individually or in the aggregate,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(hh) Except as would not, individually or in the aggregate, reasonably be expected to have a material adverse effect, in the past three (3) years, (i) the Company and its subsidiaries have established, maintained and presently maintain commercially reasonable technical, physical and organizational measures, controls, policies and procedures designed to maintain and protect the integrity, continuous operation, redundancy and security of the Company’s or its subsidiaries’ information technology assets, computer systems, networks, hardware, software, websites, applications, data and databases (including the data and information of their respective customers, employees, suppliers, vendors and any third-party data maintained, processed or stored by the Company or any of its subsidiaries and any such data processed or stored by third parties on behalf of the Company or any of its subsidiaries), equipment or technology (collectively, the “</w:t>
      </w:r>
      <w:r>
        <w:rPr>
          <w:rFonts w:ascii="Times New Roman" w:hAnsi="Times New Roman"/>
          <w:b/>
          <w:sz w:val="20"/>
        </w:rPr>
        <w:t>IT</w:t>
      </w:r>
      <w:r>
        <w:rPr>
          <w:rFonts w:ascii="Times New Roman" w:hAnsi="Times New Roman"/>
          <w:sz w:val="20"/>
        </w:rPr>
        <w:t> </w:t>
      </w:r>
      <w:r>
        <w:rPr>
          <w:rFonts w:ascii="Times New Roman" w:hAnsi="Times New Roman"/>
          <w:b/>
          <w:sz w:val="20"/>
        </w:rPr>
        <w:t>Systems and Data</w:t>
      </w:r>
      <w:r>
        <w:rPr>
          <w:rFonts w:ascii="Times New Roman" w:hAnsi="Times New Roman"/>
          <w:sz w:val="20"/>
        </w:rPr>
        <w:t>”); (ii) neither the Company nor any of its subsidiaries have experienced any breach of security, destruction, loss, unauthorized or unlawful access, disclosure, distribution, use, disablement, misappropriation, modification, or other compromise or misuse (“</w:t>
      </w:r>
      <w:r>
        <w:rPr>
          <w:rFonts w:ascii="Times New Roman" w:hAnsi="Times New Roman"/>
          <w:b/>
          <w:sz w:val="20"/>
        </w:rPr>
        <w:t>Breach</w:t>
      </w:r>
      <w:r>
        <w:rPr>
          <w:rFonts w:ascii="Times New Roman" w:hAnsi="Times New Roman"/>
          <w:sz w:val="20"/>
        </w:rPr>
        <w:t xml:space="preserve">”) of or relating to the Company’s or its subsidiaries’ IT Systems and Data; (iii) neither the Company nor its subsidiaries have received written notification of any Breach of their IT Systems and Data; and (iv) the Company’s and its subsidiaries’ IT Systems and Data are (A) adequate for, and designed to operate and perform as required in connection with, the operation of their respective businesses as now conducted by them and (B) free and clear of any and all material errors and defects, including any and all Trojan horses, time bombs, back doors, drop dead devices, malware and other corruptants, including software or hardware components that are designed to permit unauthorized access to or disrupt, damage or erase any of the IT Systems and Data. </w:t>
      </w:r>
    </w:p>
    <w:p>
      <w:pPr>
        <w:pStyle w:val="TextBody"/>
        <w:bidi w:val="0"/>
        <w:spacing w:before="120" w:after="0"/>
        <w:jc w:val="left"/>
        <w:rPr>
          <w:rFonts w:ascii="Times New Roman" w:hAnsi="Times New Roman"/>
          <w:sz w:val="20"/>
        </w:rPr>
      </w:pPr>
      <w:r>
        <w:rPr>
          <w:rFonts w:ascii="Times New Roman" w:hAnsi="Times New Roman"/>
          <w:sz w:val="20"/>
        </w:rPr>
        <w:t xml:space="preserve">(ii) Except as would not, individually or in the aggregate, reasonably be expected to have a material adverse effect, in the past three (3) years, (i) the Company and its subsidiaries have complied, and are presently in compliance, in all respects with all applicable laws and statutes and all judgments, orders, rules, and regulations of any court or arbitrator or governmental body or regulatory authority, external policies, binding industry standards and contractual obligations, each as they relate to (A) the collection, use, transfer, import, export, storage, protection, disposal, disclosure or other processing by or on behalf of the Company or any of its subsidiaries of personal information, personally identifiable information, sensitive information, or similar term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defined under applicable law, confidential or regulated data or information; (B) the privacy and security of IT Systems and Data; and (C) the protection of the Company’s and its subsidiaries’ IT Systems and Data from any Breach (collectively, the “</w:t>
      </w:r>
      <w:r>
        <w:rPr>
          <w:rFonts w:ascii="Times New Roman" w:hAnsi="Times New Roman"/>
          <w:b/>
          <w:sz w:val="20"/>
        </w:rPr>
        <w:t>Privacy Obligations</w:t>
      </w:r>
      <w:r>
        <w:rPr>
          <w:rFonts w:ascii="Times New Roman" w:hAnsi="Times New Roman"/>
          <w:sz w:val="20"/>
        </w:rPr>
        <w:t xml:space="preserve">”); (ii) the Company and its subsidiaries have not received any written notification of, or written complaint regarding, and are unaware of any other facts that, individually or in the aggregate, would reasonably indicate any material non-compliance with any Privacy Obligation; and (iii) there is no written claim, action, suit or proceeding by or before any court or governmental body, authority or body pending or, to the Company’s knowledge, threatened alleging any material non-compliance with any Privacy Obligation by the Company or any of its subsidiaries, nor is the Company aware of any written notice of investigation by any governmental body relating to the Company’s or its subsidiaries’ compliance with any Privacy Obligation. </w:t>
      </w:r>
    </w:p>
    <w:p>
      <w:pPr>
        <w:pStyle w:val="TextBody"/>
        <w:bidi w:val="0"/>
        <w:spacing w:before="120" w:after="0"/>
        <w:jc w:val="left"/>
        <w:rPr>
          <w:rFonts w:ascii="Times New Roman" w:hAnsi="Times New Roman"/>
          <w:sz w:val="20"/>
        </w:rPr>
      </w:pPr>
      <w:r>
        <w:rPr>
          <w:rFonts w:ascii="Times New Roman" w:hAnsi="Times New Roman"/>
          <w:sz w:val="20"/>
        </w:rPr>
        <w:t xml:space="preserve">(jj) The Company and each of its subsidiaries have filed all tax returns that are required to be filed or have requested extensions thereof (except in any case in which the failure so to file would not, individually or in the aggregate, reasonably be expected to have a material adverse effect, except as set forth in or contemplated in the Time of Sale Prospectus and the Prospectus (exclusive of any amendment or supplement thereto)) and have paid all taxes required to be paid by them and any other assessment, fine or penalty levied against them in respect of taxes, to the extent that any of the foregoing is due and payable, except for any such tax or other assessment, fine or penalty that is currently being contested in good faith or as would not, individually or in the aggregate, reasonably be expected to have a material adverse effect, except as set forth in or contemplated in the Time of Sale Prospectus and the Prospectus (exclusive of any amendment or supplement thereto). </w:t>
      </w:r>
    </w:p>
    <w:p>
      <w:pPr>
        <w:pStyle w:val="TextBody"/>
        <w:bidi w:val="0"/>
        <w:spacing w:before="120" w:after="0"/>
        <w:jc w:val="left"/>
        <w:rPr>
          <w:rFonts w:ascii="Times New Roman" w:hAnsi="Times New Roman"/>
          <w:sz w:val="20"/>
        </w:rPr>
      </w:pPr>
      <w:r>
        <w:rPr>
          <w:rFonts w:ascii="Times New Roman" w:hAnsi="Times New Roman"/>
          <w:sz w:val="20"/>
        </w:rPr>
        <w:t xml:space="preserve">(kk) No material labor problem or dispute with the employees of the Company or any of its subsidiaries exists or, to the knowledge of the Company, is threatened or imminent, and the Company is not aware of any existing or imminent labor disturbance by the employees of any of its or its subsidiaries’ principal suppliers, contractors or customers, that would, individually or in the aggregate,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(ll) The Company and its subsidiaries, taken as a whole, are insured by insurers of recognized financial responsibility against such losses and risks and in such amounts as are prudent and customary in the businesses in which they are collectively engaged, except as would not, individually or in the aggregate, reasonably be expected to have a material adverse effect; all policies of insurance insuring the Company or any of its subsidiaries or their respective businesses, assets, employees, officers and directors are in full force and effect; the Company and its subsidiaries are in compliance with the terms of such policies and instruments in all material respects; and there are no claims by the Company or any of its subsidiaries under any such policy or instrument as to which any insurance company is denying liability or defending under a reservation of rights clause; neither the Company nor any such subsidiary has been refused any insurance coverage sought or applied for;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individually or in the aggregate, reasonably be expected to have a material adverse effect, except as set forth in or contemplated in the Time of Sale Prospectus and the Prospectus (exclusive of any amendment or supplement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(mm) No subsidiary of the Company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in or contemplated by the Time of Sale Prospectus and the Prospectus (exclusive of any amendment or supplement thereto). </w:t>
      </w:r>
    </w:p>
    <w:p>
      <w:pPr>
        <w:pStyle w:val="TextBody"/>
        <w:bidi w:val="0"/>
        <w:spacing w:before="120" w:after="0"/>
        <w:jc w:val="left"/>
        <w:rPr>
          <w:rFonts w:ascii="Times New Roman" w:hAnsi="Times New Roman"/>
          <w:sz w:val="20"/>
        </w:rPr>
      </w:pPr>
      <w:r>
        <w:rPr>
          <w:rFonts w:ascii="Times New Roman" w:hAnsi="Times New Roman"/>
          <w:sz w:val="20"/>
        </w:rPr>
        <w:t xml:space="preserve">(nn) The Company and its subsidiaries possess all material licenses (including material export licenses), certificates, permits and other authorizations issued by all applicable authorities necessary to conduct their respective businesses as currently conducted, and neither the Company nor any such subsidiary has received any notice of proceedings relating to the revocation or modification of any such certificate, authorization or permit which, individually or in the aggregate, if the subject of an unfavorable decision, ruling or finding, would reasonably be expected to have a material adverse effect, except as set forth in or contemplated in the Time of Sale Prospectus and the Prospectus (exclusive of any amendment or supplement thereto). </w:t>
      </w:r>
    </w:p>
    <w:p>
      <w:pPr>
        <w:pStyle w:val="TextBody"/>
        <w:bidi w:val="0"/>
        <w:spacing w:before="120" w:after="0"/>
        <w:jc w:val="left"/>
        <w:rPr>
          <w:rFonts w:ascii="Times New Roman" w:hAnsi="Times New Roman"/>
          <w:sz w:val="20"/>
        </w:rPr>
      </w:pPr>
      <w:r>
        <w:rPr>
          <w:rFonts w:ascii="Times New Roman" w:hAnsi="Times New Roman"/>
          <w:sz w:val="20"/>
        </w:rPr>
        <w:t>(oo) The financial statements included or incorporated by reference in each of the Registration Statement, the Time of Sale Prospectus and the Prospectus, together with the related schedules and notes thereto, comply as to form in all material respects with the applicable accounting requirements of the Securities Act and present fairly the consolidated financial position of the Company and its subsidiaries as of the dates shown and its results of operations and cash flows for the periods shown, and such financial statements have been prepared in conformity with generally accepted accounting principles (“</w:t>
      </w:r>
      <w:r>
        <w:rPr>
          <w:rFonts w:ascii="Times New Roman" w:hAnsi="Times New Roman"/>
          <w:b/>
          <w:sz w:val="20"/>
        </w:rPr>
        <w:t>U.S. GAAP</w:t>
      </w:r>
      <w:r>
        <w:rPr>
          <w:rFonts w:ascii="Times New Roman" w:hAnsi="Times New Roman"/>
          <w:sz w:val="20"/>
        </w:rPr>
        <w:t xml:space="preserve">”) applied on a consistent basis throughout the periods covered thereby except for any normal year-end adjustments in the Company’s quarterly financial statements. The other financial information included in each of the Registration Statement, the Time of Sale Prospectus and the Prospectus has been derived from the accounting records of the Company and its consolidated subsidiaries and presents fairly in all material respects the information shown thereby. The statistical, industry-related and market-related data included in each of the Registration Statement, the Time of Sale Prospectus and the Prospectus are based on or derived from sources which the Company reasonably and in good faith believes are reliable and accurate and such data is consistent with the sources from which they are derived, in each case in all material respects. </w:t>
      </w:r>
    </w:p>
    <w:p>
      <w:pPr>
        <w:pStyle w:val="TextBody"/>
        <w:bidi w:val="0"/>
        <w:spacing w:before="120" w:after="0"/>
        <w:jc w:val="left"/>
        <w:rPr>
          <w:rFonts w:ascii="Times New Roman" w:hAnsi="Times New Roman"/>
          <w:sz w:val="20"/>
        </w:rPr>
      </w:pPr>
      <w:r>
        <w:rPr>
          <w:rFonts w:ascii="Times New Roman" w:hAnsi="Times New Roman"/>
          <w:sz w:val="20"/>
        </w:rPr>
        <w:t xml:space="preserve">(pp) There is and has been no failure on the part of the Company or any of the Company’s directors or officers, in their capacities as such, to comply in all material respects with any provision of the Sarbanes-Oxley Act of 2002 and the rules and regulations promulgated in connection therewith, including Section 402 related to loans and Sections 302 and 906 related to certifications.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(qq) BPM LLP, who has certified certain financial statements of the Company and its subsidiaries and delivered its report with respect to the audited consolidated financial statements and schedules filed with the Commission as part of the Registration Statement and included or incorporated by reference in each of the Registration Statement, the Time of Sale Prospectus and the Prospectus, is an independent registered public accounting firm with respect to the Company within the meaning of the Securities Act and the applicable rules and regulations thereunder adopted by the Commission and the Public Company Accounting Oversight Board (United States). </w:t>
      </w:r>
    </w:p>
    <w:p>
      <w:pPr>
        <w:pStyle w:val="TextBody"/>
        <w:bidi w:val="0"/>
        <w:spacing w:before="120" w:after="0"/>
        <w:jc w:val="left"/>
        <w:rPr>
          <w:rFonts w:ascii="Times New Roman" w:hAnsi="Times New Roman"/>
          <w:sz w:val="20"/>
        </w:rPr>
      </w:pPr>
      <w:r>
        <w:rPr>
          <w:rFonts w:ascii="Times New Roman" w:hAnsi="Times New Roman"/>
          <w:sz w:val="20"/>
        </w:rPr>
        <w:t xml:space="preserve">(rr) The Company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U.S.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is accurate.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(ss) The Company maintains an effective system of “disclosure controls and procedures” (as defined in Rule 13a-15(e) under the Exchange Act). The Company has carried out evaluations of the effectiveness of its disclosure controls and procedures as required by Rule 13a-15 of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(tt)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w:t>
      </w:r>
    </w:p>
    <w:p>
      <w:pPr>
        <w:pStyle w:val="TextBody"/>
        <w:bidi w:val="0"/>
        <w:spacing w:before="120" w:after="0"/>
        <w:jc w:val="left"/>
        <w:rPr>
          <w:rFonts w:ascii="Times New Roman" w:hAnsi="Times New Roman"/>
          <w:sz w:val="20"/>
        </w:rPr>
      </w:pPr>
      <w:r>
        <w:rPr>
          <w:rFonts w:ascii="Times New Roman" w:hAnsi="Times New Roman"/>
          <w:sz w:val="20"/>
        </w:rPr>
        <w:t xml:space="preserve">(uu) Neither the Company nor any of its subsidiaries, nor its parent nor any affiliate has any securities rated by any “nationally recognized statistical rating organization,” as such term is defined in Section 3(a)(62) of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(vv) The Company (i) has not alone engaged in any Testing-the-Waters Communication with any person other than Testing-the-Waters Communications with the consent of Morgan Stanley with entities that are reasonably believed to be qualified institutional buyers within the meaning of Rule 144A under the Securities Act or institutions that are reasonably believed to be accredited investors within the meaning of Rule 501 under the Securities Act and (ii) has not authorized anyone other than Morgan Stanley to engage in Testing-the-Waters Communications.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reconfirms that Morgan Stanley has been authorized to act on its behalf in undertaking Testing-the-Waters Communications. The Company has not distributed any Testing-the-Waters Communication that is a written communication within the meaning of Rule 405 under the Securities Act other than those listed on Schedule IV hereto. “</w:t>
      </w:r>
      <w:r>
        <w:rPr>
          <w:rFonts w:ascii="Times New Roman" w:hAnsi="Times New Roman"/>
          <w:b/>
          <w:sz w:val="20"/>
        </w:rPr>
        <w:t>Testing-the-Waters Communication</w:t>
      </w:r>
      <w:r>
        <w:rPr>
          <w:rFonts w:ascii="Times New Roman" w:hAnsi="Times New Roman"/>
          <w:sz w:val="20"/>
        </w:rPr>
        <w:t xml:space="preserve">” means any communication with potential investors undertaken in reliance on Rule 163B of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(ww) As of the time of each sale of the Shares in connection with the offering when the Prospectus is not yet available to prospective purchasers, none of (A) the Time of Sale Prospectus, (B) any free writing prospectus, when considered together with the Time of Sale Prospectus, and (C) any individual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Representations and Warranties of the Selling Shareholder</w:t>
      </w:r>
      <w:r>
        <w:rPr>
          <w:rFonts w:ascii="Times New Roman" w:hAnsi="Times New Roman"/>
          <w:sz w:val="20"/>
        </w:rPr>
        <w:t xml:space="preserve">. The Selling Shareholder represents and warrants to and agrees with each of the Underwriters that: </w:t>
      </w:r>
    </w:p>
    <w:p>
      <w:pPr>
        <w:pStyle w:val="TextBody"/>
        <w:bidi w:val="0"/>
        <w:spacing w:before="120" w:after="0"/>
        <w:jc w:val="left"/>
        <w:rPr>
          <w:rFonts w:ascii="Times New Roman" w:hAnsi="Times New Roman"/>
          <w:sz w:val="20"/>
        </w:rPr>
      </w:pPr>
      <w:r>
        <w:rPr>
          <w:rFonts w:ascii="Times New Roman" w:hAnsi="Times New Roman"/>
          <w:sz w:val="20"/>
        </w:rPr>
        <w:t xml:space="preserve">(a) This Agreement has been duly authorized, executed and delivered by or on behalf of such Selling Shareholder. </w:t>
      </w:r>
    </w:p>
    <w:p>
      <w:pPr>
        <w:pStyle w:val="TextBody"/>
        <w:bidi w:val="0"/>
        <w:spacing w:before="120" w:after="0"/>
        <w:jc w:val="left"/>
        <w:rPr>
          <w:rFonts w:ascii="Times New Roman" w:hAnsi="Times New Roman"/>
          <w:sz w:val="20"/>
        </w:rPr>
      </w:pPr>
      <w:r>
        <w:rPr>
          <w:rFonts w:ascii="Times New Roman" w:hAnsi="Times New Roman"/>
          <w:sz w:val="20"/>
        </w:rPr>
        <w:t xml:space="preserve">(b) The execution and delivery by such Selling Shareholder of, and the performance by such Selling Shareholder of its obligations under, this Agreement will not contravene any provision of applicable law, or the certificate of incorporation or by-laws of such Selling Shareholder (if such Selling Shareholder is a corporation), or any agreement or other instrument binding upon such Selling Shareholder or any judgment, order or decree of any governmental body, agency or court having jurisdiction over such Selling Shareholder, except, in each case, for any such contravention that would not, individually or in the aggregate, affect the validity of the Shares to be sold by such Selling Shareholder hereunder or reasonably be expected to materially impair the ability of such Selling Shareholder to consummate the sale and delivery of the Shares to be sold by the Selling Shareholder hereunder; and no consent, approval, authorization or order of, or qualification with, any governmental body, agency or court is required for the performance by such Selling Shareholder of its obligations under this Agreement, except (x) (i) the registration under the Securities Act of the Shares, (ii) the approval by FINRA of the underwriting terms and arrangements, (iii) the approval for listing on the Nasdaq Global Select Market or (iv) such as may be required by the securities or Blue Sky laws of the various states in connection with the offer and sale of the Shares or (y) as would not, individually or in the aggregate, affect the validity of the Shares to be sold by such Selling Shareholder hereunder or reasonably be expected to materially impair the ability of such Selling Shareholder to consummate the sale and delivery of the Shares to be sold by the Selling Shareholder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Such Selling Shareholder has, and on the Closing Date will have, (i) valid title to, or a valid “security entitlement” within the meaning of Section 8-501 of the New York Uniform Commercial Code in respect of, the Shares to be sold by such Selling Shareholder, free and clear of all security interests, claims, liens, equities or other encumbrances, and (ii) the legal right and power, and all authorization and approval required by law, to enter into this Agreement and to sell, transfer and deliver the Shares to be sold by such Selling Shareholder or a security entitlement in respect of such Shares. </w:t>
      </w:r>
    </w:p>
    <w:p>
      <w:pPr>
        <w:pStyle w:val="TextBody"/>
        <w:bidi w:val="0"/>
        <w:spacing w:before="120" w:after="0"/>
        <w:jc w:val="left"/>
        <w:rPr>
          <w:rFonts w:ascii="Times New Roman" w:hAnsi="Times New Roman"/>
          <w:sz w:val="20"/>
        </w:rPr>
      </w:pPr>
      <w:r>
        <w:rPr>
          <w:rFonts w:ascii="Times New Roman" w:hAnsi="Times New Roman"/>
          <w:sz w:val="20"/>
        </w:rPr>
        <w:t>(d) Upon payment for the Shares to be sold by such Selling Shareholder pursuant to this Agreement, delivery of such Shares, as directed by the Underwriters, to Cede &amp; Co. (“</w:t>
      </w:r>
      <w:r>
        <w:rPr>
          <w:rFonts w:ascii="Times New Roman" w:hAnsi="Times New Roman"/>
          <w:b/>
          <w:sz w:val="20"/>
        </w:rPr>
        <w:t>Cede</w:t>
      </w:r>
      <w:r>
        <w:rPr>
          <w:rFonts w:ascii="Times New Roman" w:hAnsi="Times New Roman"/>
          <w:sz w:val="20"/>
        </w:rPr>
        <w:t>”) or such other nominee as may be designated by the Depository Trust Company (“</w:t>
      </w:r>
      <w:r>
        <w:rPr>
          <w:rFonts w:ascii="Times New Roman" w:hAnsi="Times New Roman"/>
          <w:b/>
          <w:sz w:val="20"/>
        </w:rPr>
        <w:t>DTC</w:t>
      </w:r>
      <w:r>
        <w:rPr>
          <w:rFonts w:ascii="Times New Roman" w:hAnsi="Times New Roman"/>
          <w:sz w:val="20"/>
        </w:rPr>
        <w:t>”), registration of such Shares in the name of Cede or such other nominee and the crediting of such Shares on the books of DTC to securities accounts of the Underwriters (assuming that neither DTC nor any such Underwriter has notice of any adverse claim (within the meaning of Section 8-105 of the New York Uniform Commercial Code (the “</w:t>
      </w:r>
      <w:r>
        <w:rPr>
          <w:rFonts w:ascii="Times New Roman" w:hAnsi="Times New Roman"/>
          <w:b/>
          <w:sz w:val="20"/>
        </w:rPr>
        <w:t>UCC</w:t>
      </w:r>
      <w:r>
        <w:rPr>
          <w:rFonts w:ascii="Times New Roman" w:hAnsi="Times New Roman"/>
          <w:sz w:val="20"/>
        </w:rPr>
        <w:t xml:space="preserve">”)) to such Shares), (A) DTC shall be a “protected purchaser” of such Shares within the meaning of Section 8-303 of the UCC, (B) under Section 8-501 of the UCC, the Underwriters will acquire a valid security entitlement in respect of such Shares and (C) no action based on any “adverse claim”, within the meaning of Section 8-102 of the UCC, to such Shares may be asserted against the Underwriters with respect to such security entitlement; for purposes of this representation, such Selling Shareholder may assume that (1) when such payment, delivery and crediting occur, (x) such Shares will have been registered in the name of Cede or another nominee designated by DTC, in each case on the Company’s share registry in accordance with its certificate of incorporation, bylaws and applicable law, (y) DTC will be registered as a “clearing corporation” within the meaning of Section 8-102 of the UCC and (z) appropriate entries to the accounts of the several Underwriters on the records of DTC will have been made pursuant to the UCC and (2) neither DTC nor any Underwriter has notice of any adverse claim to such Shares </w:t>
      </w:r>
    </w:p>
    <w:p>
      <w:pPr>
        <w:pStyle w:val="TextBody"/>
        <w:bidi w:val="0"/>
        <w:spacing w:before="120" w:after="0"/>
        <w:jc w:val="left"/>
        <w:rPr>
          <w:rFonts w:ascii="Times New Roman" w:hAnsi="Times New Roman"/>
          <w:sz w:val="20"/>
        </w:rPr>
      </w:pPr>
      <w:r>
        <w:rPr>
          <w:rFonts w:ascii="Times New Roman" w:hAnsi="Times New Roman"/>
          <w:sz w:val="20"/>
        </w:rPr>
        <w:t xml:space="preserve">(e) Such Selling Shareholder is not prompted by any material non-public information concerning the Company or its subsidiaries which is not set forth in the Registration Statement, the Time of Sale Prospectus or the Prospectus to sell its Shares pursuant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(f) (i) None of such Selling Shareholder or any of its subsidiaries, or, to the knowledge of such Selling Shareholder, any director, officer, employee, agent, representative, or affiliate thereof, is a Person that is, or is owned or controlled by one or more Persons that are: </w:t>
      </w:r>
    </w:p>
    <w:p>
      <w:pPr>
        <w:pStyle w:val="TextBody"/>
        <w:bidi w:val="0"/>
        <w:spacing w:before="120" w:after="0"/>
        <w:jc w:val="left"/>
        <w:rPr>
          <w:rFonts w:ascii="Times New Roman" w:hAnsi="Times New Roman"/>
          <w:sz w:val="20"/>
        </w:rPr>
      </w:pPr>
      <w:r>
        <w:rPr>
          <w:rFonts w:ascii="Times New Roman" w:hAnsi="Times New Roman"/>
          <w:sz w:val="20"/>
        </w:rPr>
        <w:t xml:space="preserve">(A) the subject of any Sanctions, or </w:t>
      </w:r>
    </w:p>
    <w:p>
      <w:pPr>
        <w:pStyle w:val="TextBody"/>
        <w:bidi w:val="0"/>
        <w:spacing w:before="120" w:after="0"/>
        <w:jc w:val="left"/>
        <w:rPr>
          <w:rFonts w:ascii="Times New Roman" w:hAnsi="Times New Roman"/>
          <w:sz w:val="20"/>
        </w:rPr>
      </w:pPr>
      <w:r>
        <w:rPr>
          <w:rFonts w:ascii="Times New Roman" w:hAnsi="Times New Roman"/>
          <w:sz w:val="20"/>
        </w:rPr>
        <w:t xml:space="preserve">(B) located, organized or resident in a country or territory that is the subject of comprehensive territorial Sanctions (including, without limitation, the so-called Donetsk People’s Republic, the so-called Luhansk People’s Republic, or any other Covered Region of Ukraine identified pursuant to Executive Order 14065, Crimea, Cuba, Iran, and North Korea).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Such Selling Shareholder will not, directly or indirectly, use the proceeds of the offering, or lend, contribute or otherwise make available such proceeds to any subsidiary, joint venture partner or other Person: </w:t>
      </w:r>
    </w:p>
    <w:p>
      <w:pPr>
        <w:pStyle w:val="TextBody"/>
        <w:bidi w:val="0"/>
        <w:spacing w:before="120" w:after="0"/>
        <w:jc w:val="left"/>
        <w:rPr>
          <w:rFonts w:ascii="Times New Roman" w:hAnsi="Times New Roman"/>
          <w:sz w:val="20"/>
        </w:rPr>
      </w:pPr>
      <w:r>
        <w:rPr>
          <w:rFonts w:ascii="Times New Roman" w:hAnsi="Times New Roman"/>
          <w:sz w:val="20"/>
        </w:rPr>
        <w:t xml:space="preserve">(A) to fund or facilitate any activities or business of or with any Person that is the target of Sanctions, or with or involving a Sanctioned Territory or the government of a Sanctioned Territory; </w:t>
      </w:r>
    </w:p>
    <w:p>
      <w:pPr>
        <w:pStyle w:val="TextBody"/>
        <w:bidi w:val="0"/>
        <w:spacing w:before="120" w:after="0"/>
        <w:jc w:val="left"/>
        <w:rPr>
          <w:rFonts w:ascii="Times New Roman" w:hAnsi="Times New Roman"/>
          <w:sz w:val="20"/>
        </w:rPr>
      </w:pPr>
      <w:r>
        <w:rPr>
          <w:rFonts w:ascii="Times New Roman" w:hAnsi="Times New Roman"/>
          <w:sz w:val="20"/>
        </w:rPr>
        <w:t xml:space="preserve">(B) to fund or facilitate any money laundering or terrorist financing activities; or </w:t>
      </w:r>
    </w:p>
    <w:p>
      <w:pPr>
        <w:pStyle w:val="TextBody"/>
        <w:bidi w:val="0"/>
        <w:spacing w:before="120" w:after="0"/>
        <w:jc w:val="left"/>
        <w:rPr>
          <w:rFonts w:ascii="Times New Roman" w:hAnsi="Times New Roman"/>
          <w:sz w:val="20"/>
        </w:rPr>
      </w:pPr>
      <w:r>
        <w:rPr>
          <w:rFonts w:ascii="Times New Roman" w:hAnsi="Times New Roman"/>
          <w:sz w:val="20"/>
        </w:rPr>
        <w:t xml:space="preserve">(C) in any other manner that would cause or result in a violation of any Anti-Corruption Laws, Anti-Money Laundering Laws, or Sanctions by any Person (including any Person participating in the offering, whether as underwriter, advisor, investor or otherwise). </w:t>
      </w:r>
    </w:p>
    <w:p>
      <w:pPr>
        <w:pStyle w:val="TextBody"/>
        <w:bidi w:val="0"/>
        <w:spacing w:before="120" w:after="0"/>
        <w:jc w:val="left"/>
        <w:rPr>
          <w:rFonts w:ascii="Times New Roman" w:hAnsi="Times New Roman"/>
          <w:sz w:val="20"/>
        </w:rPr>
      </w:pPr>
      <w:r>
        <w:rPr>
          <w:rFonts w:ascii="Times New Roman" w:hAnsi="Times New Roman"/>
          <w:sz w:val="20"/>
        </w:rPr>
        <w:t xml:space="preserve">(iii) Such Selling Shareholder (a) has not, since April 24, 2019, engaged in, (b) is not now engaged in, and (c) will not engage in, any dealings or transactions with any Person that, at the time of the dealing or transaction, is or was the target of Sanctions, or with or involving a country or territory or government that, at the time of the dealing or transaction, is or was a Sanctioned Territory or the government of a Sanctioned Territory, as applicable. </w:t>
      </w:r>
    </w:p>
    <w:p>
      <w:pPr>
        <w:pStyle w:val="TextBody"/>
        <w:bidi w:val="0"/>
        <w:spacing w:before="120" w:after="0"/>
        <w:jc w:val="left"/>
        <w:rPr>
          <w:rFonts w:ascii="Times New Roman" w:hAnsi="Times New Roman"/>
          <w:sz w:val="20"/>
        </w:rPr>
      </w:pPr>
      <w:r>
        <w:rPr>
          <w:rFonts w:ascii="Times New Roman" w:hAnsi="Times New Roman"/>
          <w:sz w:val="20"/>
        </w:rPr>
        <w:t xml:space="preserve">(iv) (a) None of such Selling Shareholder or any of its subsidiaries, or, to the knowledge of such Selling Shareholder, any director, officer, employee, agent, representative, or affiliate thereof has knowingly taken or will take any action in furtherance of an offer, payment, promise to pay, or authorization or approval of the payment giving or receipt of money, property, gifts or anything else of value, directly or indirectly, to any person to improperly influence official action by that person for the benefit of such Selling Shareholder or its subsidiaries or affiliates, or to otherwise secure any improper advantage, or to any person in violation of any applicable Anti-Corruption Laws; (b) such Selling Shareholder and each of its subsidiaries have conducted their businesses in compliance with applicable Anti-Corruption Laws and have instituted and maintained and will continue to maintain policies and procedures reasonably designed to promote and achieve compliance with such laws; and (c) neither the Selling Shareholder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The operations of such Selling Shareholder and each of its subsidiaries are and have been conducted at all times in material compliance with all applicable Anti-Money Laundering Laws, and no action, suit or proceeding by or before any court or governmental agency, authority or body or any arbitrator involving such Selling Shareholder or any of its subsidiaries with respect to the Anti-Money Laundering Laws is pending or, to the best knowledge of the Selling Shareholder, threatened. </w:t>
      </w:r>
    </w:p>
    <w:p>
      <w:pPr>
        <w:pStyle w:val="TextBody"/>
        <w:bidi w:val="0"/>
        <w:spacing w:before="120" w:after="0"/>
        <w:jc w:val="left"/>
        <w:rPr>
          <w:rFonts w:ascii="Times New Roman" w:hAnsi="Times New Roman"/>
          <w:sz w:val="20"/>
        </w:rPr>
      </w:pPr>
      <w:r>
        <w:rPr>
          <w:rFonts w:ascii="Times New Roman" w:hAnsi="Times New Roman"/>
          <w:sz w:val="20"/>
        </w:rPr>
        <w:t>(g) Such Selling Shareholder represents and warrants that it is not (i) an employee benefit plan subject to Title I of the Employee Retirement Income Security Act of 1974, as amended (“</w:t>
      </w:r>
      <w:r>
        <w:rPr>
          <w:rFonts w:ascii="Times New Roman" w:hAnsi="Times New Roman"/>
          <w:b/>
          <w:sz w:val="20"/>
        </w:rPr>
        <w:t>ERISA</w:t>
      </w:r>
      <w:r>
        <w:rPr>
          <w:rFonts w:ascii="Times New Roman" w:hAnsi="Times New Roman"/>
          <w:sz w:val="20"/>
        </w:rPr>
        <w:t xml:space="preserve">”), (ii) a plan or account subject to Section 4975 of the Internal Revenue Code of 1986, as amended or (iii) an entity deemed to hold “plan assets” of any such plan or account under Section 3(42) of ERISA, 29 C.F.R. 2510.3-101, or otherwise.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Agreements to Sell and Purchase</w:t>
      </w:r>
      <w:r>
        <w:rPr>
          <w:rFonts w:ascii="Times New Roman" w:hAnsi="Times New Roman"/>
          <w:sz w:val="20"/>
        </w:rPr>
        <w:t>. Each Seller, severally and not jointly, hereby agrees to sell to the several Underwriters, and each Underwriter, upon the basis of the representations and warranties herein contained, but subject to the terms and conditions hereinafter stated, agrees, severally and not jointly, to purchase from such Seller at $42.02 a share (the “</w:t>
      </w:r>
      <w:r>
        <w:rPr>
          <w:rFonts w:ascii="Times New Roman" w:hAnsi="Times New Roman"/>
          <w:b/>
          <w:sz w:val="20"/>
        </w:rPr>
        <w:t>Purchase Price</w:t>
      </w:r>
      <w:r>
        <w:rPr>
          <w:rFonts w:ascii="Times New Roman" w:hAnsi="Times New Roman"/>
          <w:sz w:val="20"/>
        </w:rPr>
        <w:t xml:space="preserve">”) the number of Firm Shares (subject to such adjustments to eliminate fractional shares as Morgan Stanley may determine) that bears the same proportion to the number of Firm Shares to be sold by such Seller as the number of Firm Shares set forth in Schedule II hereto opposite the name of such Underwriter bears to the total number of Firm Shares. </w:t>
      </w:r>
    </w:p>
    <w:p>
      <w:pPr>
        <w:pStyle w:val="TextBody"/>
        <w:bidi w:val="0"/>
        <w:spacing w:before="240" w:after="0"/>
        <w:jc w:val="left"/>
        <w:rPr>
          <w:rFonts w:ascii="Times New Roman" w:hAnsi="Times New Roman"/>
          <w:sz w:val="20"/>
        </w:rPr>
      </w:pPr>
      <w:r>
        <w:rPr>
          <w:rFonts w:ascii="Times New Roman" w:hAnsi="Times New Roman"/>
          <w:sz w:val="20"/>
        </w:rPr>
        <w:t>On the basis of the representations and warranties contained in this Agreement, and subject to its terms and conditions, the Company agrees to sell to the Underwriters the Additional Shares, and the Underwriters shall have the right to purchase, severally and not jointly, up to 685,246 Additional Shares at the Purchase Price, provided, however, that the amount paid by the Underwriters for any Additional Shares shall be reduced by an amount per share equal to any dividends declared by the Company and payable on the Firm Shares but not payable on such Additional Shares. Morgan Stanley may exercise this right on behalf of the Underwriters in whole or from time to time in part by giving written notice not later than 30 days after the date of this Agreement. Any exercise notice shall specify the number of Additional Shares to be purchased by the Underwriters and the date on which such shares are to be purchased. Each purchase date must be at least one business day after the written notice is given and may not be earlier than the closing date for the Firm Shares or later than ten business days after the date of such notice. Additional Shares may be purchased as provided in Section 5 hereof solely for the purpose of covering sales of shares in excess of the number of the Firm Shares. On each day, if any, that Additional Shares are to be purchased (an “</w:t>
      </w:r>
      <w:r>
        <w:rPr>
          <w:rFonts w:ascii="Times New Roman" w:hAnsi="Times New Roman"/>
          <w:b/>
          <w:sz w:val="20"/>
        </w:rPr>
        <w:t>Option Closing Date</w:t>
      </w:r>
      <w:r>
        <w:rPr>
          <w:rFonts w:ascii="Times New Roman" w:hAnsi="Times New Roman"/>
          <w:sz w:val="20"/>
        </w:rPr>
        <w:t xml:space="preserve">”), each Underwriter agrees, severally and not jointly, to purchase the number of Additional Shares (subject to such adjustments to eliminate fractional shares as Morgan Stanley may determine) that bears the same proportion to the total number of Additional Shares to be purchased on such Option Closing Date as the number of Firm Shares set forth in Schedule II hereto opposite the name of such Underwriter bears to the total number of Firm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i/>
          <w:sz w:val="20"/>
        </w:rPr>
        <w:t>Terms of Public Offering</w:t>
      </w:r>
      <w:r>
        <w:rPr>
          <w:rFonts w:ascii="Times New Roman" w:hAnsi="Times New Roman"/>
          <w:sz w:val="20"/>
        </w:rPr>
        <w:t>. The Sellers are advised by Morgan Stanley that the Underwriters propose to make a public offering of their respective portions of the Shares as soon after the Registration Statement and this Agreement have become effective as in Morgan Stanley’s judgment is advisable. The Sellers are further advised by Morgan Stanley that the Shares are to be offered to the public initially at $44.00 a share (the “</w:t>
      </w:r>
      <w:r>
        <w:rPr>
          <w:rFonts w:ascii="Times New Roman" w:hAnsi="Times New Roman"/>
          <w:b/>
          <w:sz w:val="20"/>
        </w:rPr>
        <w:t>Public Offering Price</w:t>
      </w:r>
      <w:r>
        <w:rPr>
          <w:rFonts w:ascii="Times New Roman" w:hAnsi="Times New Roman"/>
          <w:sz w:val="20"/>
        </w:rPr>
        <w:t xml:space="preserve">”) and to certain dealers selected by Morgan Stanley at a price that represents a concession not in excess of $1.188 a share under the Public Offering Price.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i/>
          <w:sz w:val="20"/>
        </w:rPr>
        <w:t>Payment and Delivery</w:t>
      </w:r>
      <w:r>
        <w:rPr>
          <w:rFonts w:ascii="Times New Roman" w:hAnsi="Times New Roman"/>
          <w:sz w:val="20"/>
        </w:rPr>
        <w:t xml:space="preserve">. Payment for the Firm Shares to be sold by each Seller shall be made to such Seller in Federal or other funds immediately available in New York City against delivery of such Firm Shares for the respective accounts of the several Underwriters at 10:00 a.m., New York City time, on May 15, 2026, or at such other time on the same or such other date, not later than May 22, 2026, as shall be designated in writing by Morgan Stanley;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the Company Expenses (as defined in Section 9) shall be deducted from the amounts otherwise payable to the Selling Shareholder pursuant to this Section 5, the amounts payable to the Selling Shareholder pursuant to this Section 5 shall be reduced by the Company Expenses, and payment for such Company Expenses shall be made to the Company in Federal or other funds immediately available in New York City at 10:00 a.m., New York City time, on May 15, 2026, or at such other time on the same or such other date, not later than May 22, 2026, as shall be designated in writing by Morgan Stanley. The time and date of such payment are hereinafter referred to as the “</w:t>
      </w:r>
      <w:r>
        <w:rPr>
          <w:rFonts w:ascii="Times New Roman" w:hAnsi="Times New Roman"/>
          <w:b/>
          <w:sz w:val="20"/>
        </w:rPr>
        <w:t>Closing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Payment for any Additional Shares shall be made to the Company in Federal or other funds immediately available in New York City against delivery of such Additional Shares for the respective accounts of the several Underwriters at 10:00 a.m., New York City time, on the date specified in the corresponding notice described in Section 3 or at such other time on the same or on such other date, in any event not later than June 26, 2026, as shall be designated in writing by Morgan Stanley. </w:t>
      </w:r>
    </w:p>
    <w:p>
      <w:pPr>
        <w:pStyle w:val="TextBody"/>
        <w:bidi w:val="0"/>
        <w:spacing w:before="240" w:after="0"/>
        <w:jc w:val="left"/>
        <w:rPr>
          <w:rFonts w:ascii="Times New Roman" w:hAnsi="Times New Roman"/>
          <w:sz w:val="20"/>
        </w:rPr>
      </w:pPr>
      <w:r>
        <w:rPr>
          <w:rFonts w:ascii="Times New Roman" w:hAnsi="Times New Roman"/>
          <w:sz w:val="20"/>
        </w:rPr>
        <w:t xml:space="preserve">The Firm Shares and Additional Shares shall be registered in such names and in such denominations as Morgan Stanley shall request not later than one full business day prior to the Closing Date or the applicable Option Closing Date, as the case may be. The Firm Shares and Additional Shares shall be delivered to Morgan Stanley on the Closing Date or an Option Closing Date, as the case may be, for the respective accounts of the several Underwriters, with any transfer taxes payable in connection with the transfer of the Shares to the Underwriters duly paid, against payment of the Purchase Price therefor.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i/>
          <w:sz w:val="20"/>
        </w:rPr>
        <w:t>Conditions to the Underwriters</w:t>
      </w:r>
      <w:r>
        <w:rPr>
          <w:rFonts w:ascii="Times New Roman" w:hAnsi="Times New Roman"/>
          <w:sz w:val="20"/>
        </w:rPr>
        <w:t xml:space="preserve">’ </w:t>
      </w:r>
      <w:r>
        <w:rPr>
          <w:rFonts w:ascii="Times New Roman" w:hAnsi="Times New Roman"/>
          <w:i/>
          <w:sz w:val="20"/>
        </w:rPr>
        <w:t>Obligations</w:t>
      </w:r>
      <w:r>
        <w:rPr>
          <w:rFonts w:ascii="Times New Roman" w:hAnsi="Times New Roman"/>
          <w:sz w:val="20"/>
        </w:rPr>
        <w:t xml:space="preserve">. The obligations of the Sellers to sell the Shares to the Underwriters and the several obligations of the Underwriters to purchase and pay for the Shares on the Closing Date are subject to the condition that the Registration Statement shall have become effective not later than 4:00 p.m. (New York City time) on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The several obligations of the Underwriters are subject to the following further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Subsequent to the execution and delivery of this Agreement and prior to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(i) no order suspending the effectiveness of the Registration Statement shall be in effect, and no proceeding for such purpose or pursuant to Section 8A under the Securities Act shall be pending before or threatened by the Commission; and </w:t>
      </w:r>
    </w:p>
    <w:p>
      <w:pPr>
        <w:pStyle w:val="TextBody"/>
        <w:bidi w:val="0"/>
        <w:spacing w:before="120" w:after="0"/>
        <w:jc w:val="left"/>
        <w:rPr>
          <w:rFonts w:ascii="Times New Roman" w:hAnsi="Times New Roman"/>
          <w:sz w:val="20"/>
        </w:rPr>
      </w:pPr>
      <w:r>
        <w:rPr>
          <w:rFonts w:ascii="Times New Roman" w:hAnsi="Times New Roman"/>
          <w:sz w:val="20"/>
        </w:rPr>
        <w:t xml:space="preserve">(ii) there shall not have occurred any change, or any development involving a prospective change, in the condition, financial or otherwise, or in the earnings, business, operations or prospects of the Company and its subsidiaries, taken as a whole, from that set forth in the Time of Sale Prospectus that, in Morgan Stanley’s judgment, is material and adverse and that makes it, in Morgan Stanley’s judgment, impracticable to market the Shares on the terms and in the manner contemplated in the Time of Sale Prospectus. </w:t>
      </w:r>
    </w:p>
    <w:p>
      <w:pPr>
        <w:pStyle w:val="TextBody"/>
        <w:bidi w:val="0"/>
        <w:spacing w:before="120" w:after="0"/>
        <w:jc w:val="left"/>
        <w:rPr>
          <w:rFonts w:ascii="Times New Roman" w:hAnsi="Times New Roman"/>
          <w:sz w:val="20"/>
        </w:rPr>
      </w:pPr>
      <w:r>
        <w:rPr>
          <w:rFonts w:ascii="Times New Roman" w:hAnsi="Times New Roman"/>
          <w:sz w:val="20"/>
        </w:rPr>
        <w:t xml:space="preserve">(b) The Underwriters shall have received on the Closing Date a certificate, dated the Closing Date and signed by an executive officer of the Company, to the effect set forth in Sections 6(a)(i) and 6(a)(ii)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The officer signing and delivering such certificate may rely upon the best of his or her knowledge as to proceedings threatened. </w:t>
      </w:r>
    </w:p>
    <w:p>
      <w:pPr>
        <w:pStyle w:val="TextBody"/>
        <w:bidi w:val="0"/>
        <w:spacing w:before="120" w:after="0"/>
        <w:jc w:val="left"/>
        <w:rPr>
          <w:rFonts w:ascii="Times New Roman" w:hAnsi="Times New Roman"/>
          <w:sz w:val="20"/>
        </w:rPr>
      </w:pPr>
      <w:r>
        <w:rPr>
          <w:rFonts w:ascii="Times New Roman" w:hAnsi="Times New Roman"/>
          <w:sz w:val="20"/>
        </w:rPr>
        <w:t xml:space="preserve">(c) The Underwriters shall have received on the Closing Date an opinion and negative assurance letter of Latham &amp; Watkins LLP, outside counsel for the Company, dated the Closing Date and addressed to Morgan Stanley, in form and substance reasonably satisfactory to Morgan Stanley. </w:t>
      </w:r>
    </w:p>
    <w:p>
      <w:pPr>
        <w:pStyle w:val="TextBody"/>
        <w:bidi w:val="0"/>
        <w:spacing w:before="120" w:after="0"/>
        <w:jc w:val="left"/>
        <w:rPr>
          <w:rFonts w:ascii="Times New Roman" w:hAnsi="Times New Roman"/>
          <w:sz w:val="20"/>
        </w:rPr>
      </w:pPr>
      <w:r>
        <w:rPr>
          <w:rFonts w:ascii="Times New Roman" w:hAnsi="Times New Roman"/>
          <w:sz w:val="20"/>
        </w:rPr>
        <w:t xml:space="preserve">(d) The Underwriters shall have received on the Closing Date an opinion of Skadden, Arps, Slate, Meagher &amp; Flom LLP, counsel for the Selling Shareholder, dated the Closing Date, in form and substance reasonably satisfactory to Morgan Stanley. </w:t>
      </w:r>
    </w:p>
    <w:p>
      <w:pPr>
        <w:pStyle w:val="TextBody"/>
        <w:bidi w:val="0"/>
        <w:spacing w:before="120" w:after="0"/>
        <w:jc w:val="left"/>
        <w:rPr>
          <w:rFonts w:ascii="Times New Roman" w:hAnsi="Times New Roman"/>
          <w:sz w:val="20"/>
        </w:rPr>
      </w:pPr>
      <w:r>
        <w:rPr>
          <w:rFonts w:ascii="Times New Roman" w:hAnsi="Times New Roman"/>
          <w:sz w:val="20"/>
        </w:rPr>
        <w:t xml:space="preserve">(e) The Underwriters shall have received on the Closing Date an opinion and negative assurance letter of Goodwin Procter LLP, counsel for the Underwriters, dated the Closing Date, and addressed to the Underwriters, with respect to the issuance and sale of the Shares, the Registration Statement, the Time of Sale Prospectus and the Prospectus (together with any supplement thereto) and other related matters as Morgan Stanley may reasonably require, and the Company shall have furnished to such counsel such documents as they request for the purpose of enabling them to pass upon such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giving the opinion to be delivered pursuant to Section 6(c), counsel may rely, as to all matters governed by the laws of jurisdictions other than the law of the State of New York, the General Corporation Law of the State of Delaware and the federal securities laws of the United States, upon the opinions of counsel satisfactory to the Morgan Stanley. Such counsel may also state that, insofar as such opinions involve factual matters, they have relied, to the extent they deem proper, upon certificates of officers and other representatives of the Company and its subsidiaries and certificates of public officials.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negative assurance letter to be delivered pursuant to Section 6(c) above, Latham &amp; Watkins LLP may state that its opinions and beliefs are based upon their participation in the preparation of the Registration Statement, the Time of Sale Prospectus and the Prospectus and any amendments or supplements thereto and review and discussion of the contents thereof, but are without independent check or verification, except as specified. Goodwin Procter LLP may state that their opinions and beliefs are based upon their participation in the preparation of the Registration Statement, the Time of Sale Prospectus and the Prospectus and any amendments or supplements thereto (other than the documents incorporated by reference) and upon review and discussion of the contents thereof (including documents incorporated by reference), but are without independent check or verification, except as specified. </w:t>
      </w:r>
    </w:p>
    <w:p>
      <w:pPr>
        <w:pStyle w:val="TextBody"/>
        <w:bidi w:val="0"/>
        <w:spacing w:before="240" w:after="0"/>
        <w:jc w:val="left"/>
        <w:rPr>
          <w:rFonts w:ascii="Times New Roman" w:hAnsi="Times New Roman"/>
          <w:sz w:val="20"/>
        </w:rPr>
      </w:pPr>
      <w:r>
        <w:rPr>
          <w:rFonts w:ascii="Times New Roman" w:hAnsi="Times New Roman"/>
          <w:sz w:val="20"/>
        </w:rPr>
        <w:t xml:space="preserve">The opinions of Latham &amp; Watkins LLP and Skadden, Arps, Slate, Meagher &amp; Flom LLP, described in Sections 6(c) and 6(d) above shall be rendered to the Underwriters at the request of the Company or the Selling Shareholder, as the case may be, and shall so state therein. </w:t>
      </w:r>
    </w:p>
    <w:p>
      <w:pPr>
        <w:pStyle w:val="TextBody"/>
        <w:bidi w:val="0"/>
        <w:spacing w:before="120" w:after="0"/>
        <w:jc w:val="left"/>
        <w:rPr>
          <w:rFonts w:ascii="Times New Roman" w:hAnsi="Times New Roman"/>
          <w:sz w:val="20"/>
        </w:rPr>
      </w:pPr>
      <w:r>
        <w:rPr>
          <w:rFonts w:ascii="Times New Roman" w:hAnsi="Times New Roman"/>
          <w:sz w:val="20"/>
        </w:rPr>
        <w:t xml:space="preserve">(f) The Underwriters shall have received, on each of the date hereof and the Closing Date, a letter dated the date hereof or the Closing Date, as the case may be, in form and substance satisfactory to the Underwriters, from BPM LLP, independent public accountants,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Times New Roman" w:hAnsi="Times New Roman"/>
          <w:i/>
          <w:sz w:val="20"/>
        </w:rPr>
        <w:t>provided</w:t>
      </w:r>
      <w:r>
        <w:rPr>
          <w:rFonts w:ascii="Times New Roman" w:hAnsi="Times New Roman"/>
          <w:sz w:val="20"/>
        </w:rPr>
        <w:t xml:space="preserve"> that the letter delivered on the Closing Date shall use a “cut-off date” not earlier than two business days prior to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(g) The Lock-up Agreements, each substantially in the form of Exhibit B hereto, between Morgan Stanley and the officers and directors of the Company relating to restrictions on sales and certain other dispositions of or activities in respect of shares of Common Stock or certain other securities, delivered to Morgan Stanley on or before the date hereof, shall be in full force and effect on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(h) The Underwriters shall have received on each of the date hereof and the Closing Date, a Chief Financial Officer’s certificate dated the date hereof or the Closing Date, as the case may be, with respect to certain financial data contained in the Prospectus and signed on behalf of the Company by the Chief Financial Officer of the Company, in form and substance satisfactory to Morgan Stanley.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several obligations of the Underwriters to purchase Additional Shares hereunder are subject to the delivery to Morgan Stanley on the applicable Option Closing Date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 certificate, dated the Option Closing Date and signed by an executive officer of the Company, confirming that the certificate delivered on the Closing Date pursuant to Section 6(b) hereof remains true and correct as of such Option Closing Date; </w:t>
      </w:r>
    </w:p>
    <w:p>
      <w:pPr>
        <w:pStyle w:val="TextBody"/>
        <w:bidi w:val="0"/>
        <w:spacing w:before="120" w:after="0"/>
        <w:jc w:val="left"/>
        <w:rPr>
          <w:rFonts w:ascii="Times New Roman" w:hAnsi="Times New Roman"/>
          <w:sz w:val="20"/>
        </w:rPr>
      </w:pPr>
      <w:r>
        <w:rPr>
          <w:rFonts w:ascii="Times New Roman" w:hAnsi="Times New Roman"/>
          <w:sz w:val="20"/>
        </w:rPr>
        <w:t xml:space="preserve">(ii) an opinion and negative assurance letter of Latham &amp; Watkins LLP, outside counsel for the Company, dated the Option Closing Date, relating to the Additional Shares to be purchased on such Option Closing Date and otherwise to the same effect as the opinion required by Section 6(c) hereof; </w:t>
      </w:r>
    </w:p>
    <w:p>
      <w:pPr>
        <w:pStyle w:val="TextBody"/>
        <w:bidi w:val="0"/>
        <w:spacing w:before="120" w:after="0"/>
        <w:jc w:val="left"/>
        <w:rPr>
          <w:rFonts w:ascii="Times New Roman" w:hAnsi="Times New Roman"/>
          <w:sz w:val="20"/>
        </w:rPr>
      </w:pPr>
      <w:r>
        <w:rPr>
          <w:rFonts w:ascii="Times New Roman" w:hAnsi="Times New Roman"/>
          <w:sz w:val="20"/>
        </w:rPr>
        <w:t xml:space="preserve">(iii) an opinion and negative assurance letter of Goodwin Procter LLP, counsel for the Underwriters, dated the Option Closing Date, relating to the Additional Shares to be purchased on such Option Closing Date and otherwise to the same effect as the opinion required by Section 6(e) hereof; </w:t>
      </w:r>
    </w:p>
    <w:p>
      <w:pPr>
        <w:pStyle w:val="TextBody"/>
        <w:bidi w:val="0"/>
        <w:spacing w:before="120" w:after="0"/>
        <w:jc w:val="left"/>
        <w:rPr>
          <w:rFonts w:ascii="Times New Roman" w:hAnsi="Times New Roman"/>
          <w:sz w:val="20"/>
        </w:rPr>
      </w:pPr>
      <w:r>
        <w:rPr>
          <w:rFonts w:ascii="Times New Roman" w:hAnsi="Times New Roman"/>
          <w:sz w:val="20"/>
        </w:rPr>
        <w:t xml:space="preserve">(iv) a letter dated the Option Closing Date, in form and substance satisfactory to the Underwriters, from BPM LLP, independent public accountants, substantially in the same form and substance as the letter furnished to the Underwriters pursuant to Section 6(f) hereof; </w:t>
      </w:r>
      <w:r>
        <w:rPr>
          <w:rFonts w:ascii="Times New Roman" w:hAnsi="Times New Roman"/>
          <w:i/>
          <w:sz w:val="20"/>
        </w:rPr>
        <w:t>provided</w:t>
      </w:r>
      <w:r>
        <w:rPr>
          <w:rFonts w:ascii="Times New Roman" w:hAnsi="Times New Roman"/>
          <w:sz w:val="20"/>
        </w:rPr>
        <w:t xml:space="preserve"> that the letter delivered on the Option Closing Date shall use a “cut-off date” not earlier than two business days prior to such Option Closing Date; </w:t>
      </w:r>
    </w:p>
    <w:p>
      <w:pPr>
        <w:pStyle w:val="TextBody"/>
        <w:bidi w:val="0"/>
        <w:spacing w:before="120" w:after="0"/>
        <w:jc w:val="left"/>
        <w:rPr>
          <w:rFonts w:ascii="Times New Roman" w:hAnsi="Times New Roman"/>
          <w:sz w:val="20"/>
        </w:rPr>
      </w:pPr>
      <w:r>
        <w:rPr>
          <w:rFonts w:ascii="Times New Roman" w:hAnsi="Times New Roman"/>
          <w:sz w:val="20"/>
        </w:rPr>
        <w:t xml:space="preserve">(v) a certificate, dated the Option Closing Date and signed on behalf of the Company by the Chief Financial Officer of the Company confirming that the certificate delivered on the Closing Date pursuant to Section 6(h) hereof remains true and correct as of such Option Closing Date; and </w:t>
      </w:r>
    </w:p>
    <w:p>
      <w:pPr>
        <w:pStyle w:val="TextBody"/>
        <w:bidi w:val="0"/>
        <w:spacing w:before="120" w:after="0"/>
        <w:jc w:val="left"/>
        <w:rPr>
          <w:rFonts w:ascii="Times New Roman" w:hAnsi="Times New Roman"/>
          <w:sz w:val="20"/>
        </w:rPr>
      </w:pPr>
      <w:r>
        <w:rPr>
          <w:rFonts w:ascii="Times New Roman" w:hAnsi="Times New Roman"/>
          <w:sz w:val="20"/>
        </w:rPr>
        <w:t xml:space="preserve">(vi) such other documents as Morgan Stanley may reasonably request with respect to the good standing of the Company, the due authorization and issuance of the Additional Shares to be sold on such Option Closing Date and other matters related to the issuance of such Additional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w:t>
      </w:r>
      <w:r>
        <w:rPr>
          <w:rFonts w:ascii="Times New Roman" w:hAnsi="Times New Roman"/>
          <w:i/>
          <w:sz w:val="20"/>
        </w:rPr>
        <w:t>Covenants of the Company</w:t>
      </w:r>
      <w:r>
        <w:rPr>
          <w:rFonts w:ascii="Times New Roman" w:hAnsi="Times New Roman"/>
          <w:sz w:val="20"/>
        </w:rPr>
        <w:t xml:space="preserve">. The Company covenants with each Underwriter as follows: </w:t>
      </w:r>
    </w:p>
    <w:p>
      <w:pPr>
        <w:pStyle w:val="TextBody"/>
        <w:bidi w:val="0"/>
        <w:spacing w:before="120" w:after="0"/>
        <w:jc w:val="left"/>
        <w:rPr>
          <w:rFonts w:ascii="Times New Roman" w:hAnsi="Times New Roman"/>
          <w:sz w:val="20"/>
        </w:rPr>
      </w:pPr>
      <w:r>
        <w:rPr>
          <w:rFonts w:ascii="Times New Roman" w:hAnsi="Times New Roman"/>
          <w:sz w:val="20"/>
        </w:rPr>
        <w:t xml:space="preserve">(a) To furnish to Morgan Stanley, without charge, eight (8) signed copies of the Registration Statement (including exhibits thereto and documents incorporated by reference) and for delivery to each other Underwriter a conformed copy of the Registration Statement (without exhibits thereto but including documents incorporated by reference) and to furnish to Morgan Stanley in New York City, without charge, prior to 10:00 a.m. New York City time on the business day next succeeding the date of this Agreement and during the period mentioned in Section 7(e) or 7(f) below, as many copies of the Time of Sale Prospectus, the Prospectus, any documents incorporated by reference therein and any supplements and amendments thereto or to the Registration Statement as Morgan Stanley may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(b) Before amending or supplementing the Registration Statement, the Time of Sale Prospectus or the Prospectus, to furnish to Morgan Stanley a copy of each such proposed amendment or supplement and not to file any such proposed amendment or supplement to which Morgan Stanley reasonably objects, and to file with the Commission within the applicable period specified in Rule 424(b) under the Securities Act any prospectus required to be filed pursuant to such Rule. </w:t>
      </w:r>
    </w:p>
    <w:p>
      <w:pPr>
        <w:pStyle w:val="TextBody"/>
        <w:bidi w:val="0"/>
        <w:spacing w:before="120" w:after="0"/>
        <w:jc w:val="left"/>
        <w:rPr>
          <w:rFonts w:ascii="Times New Roman" w:hAnsi="Times New Roman"/>
          <w:sz w:val="20"/>
        </w:rPr>
      </w:pPr>
      <w:r>
        <w:rPr>
          <w:rFonts w:ascii="Times New Roman" w:hAnsi="Times New Roman"/>
          <w:sz w:val="20"/>
        </w:rPr>
        <w:t xml:space="preserve">(c) To prepare and file with the Commission pursuant to Rule 424(b), as promptly as possible and in any event no later than the Closing, the Prospectus setting forth the amount of Shares covered thereby and the terms thereof not otherwise specified in the preliminary prospectus. </w:t>
      </w:r>
    </w:p>
    <w:p>
      <w:pPr>
        <w:pStyle w:val="TextBody"/>
        <w:bidi w:val="0"/>
        <w:spacing w:before="120" w:after="0"/>
        <w:jc w:val="left"/>
        <w:rPr>
          <w:rFonts w:ascii="Times New Roman" w:hAnsi="Times New Roman"/>
          <w:sz w:val="20"/>
        </w:rPr>
      </w:pPr>
      <w:r>
        <w:rPr>
          <w:rFonts w:ascii="Times New Roman" w:hAnsi="Times New Roman"/>
          <w:sz w:val="20"/>
        </w:rPr>
        <w:t xml:space="preserve">(d) To furnish to Morgan Stanley a copy of each proposed free writing prospectus to be prepared by or on behalf of, used by, or referred to by the Company and not to use or refer to any proposed free writing prospectus to which Morgan Stanley reasonably objects. </w:t>
      </w:r>
    </w:p>
    <w:p>
      <w:pPr>
        <w:pStyle w:val="TextBody"/>
        <w:bidi w:val="0"/>
        <w:spacing w:before="120" w:after="0"/>
        <w:jc w:val="left"/>
        <w:rPr>
          <w:rFonts w:ascii="Times New Roman" w:hAnsi="Times New Roman"/>
          <w:sz w:val="20"/>
        </w:rPr>
      </w:pPr>
      <w:r>
        <w:rPr>
          <w:rFonts w:ascii="Times New Roman" w:hAnsi="Times New Roman"/>
          <w:sz w:val="20"/>
        </w:rPr>
        <w:t xml:space="preserve">(e) 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 </w:t>
      </w:r>
    </w:p>
    <w:p>
      <w:pPr>
        <w:pStyle w:val="TextBody"/>
        <w:bidi w:val="0"/>
        <w:spacing w:before="120" w:after="0"/>
        <w:jc w:val="left"/>
        <w:rPr>
          <w:rFonts w:ascii="Times New Roman" w:hAnsi="Times New Roman"/>
          <w:sz w:val="20"/>
        </w:rPr>
      </w:pPr>
      <w:r>
        <w:rPr>
          <w:rFonts w:ascii="Times New Roman" w:hAnsi="Times New Roman"/>
          <w:sz w:val="20"/>
        </w:rPr>
        <w:t xml:space="preserve">(f) 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If, during such period after the first date of the public offering of the Shares as in the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Morgan Stanley will furnish to the Company) to which Shares may have been sold by Morgan Stanley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(h) If required by applicable law, to endeavor to qualify the Shares for offer and sale under the securities or Blue Sky laws of such jurisdictions as Morgan Stanley shall reasonably request; </w:t>
      </w:r>
      <w:r>
        <w:rPr>
          <w:rFonts w:ascii="Times New Roman" w:hAnsi="Times New Roman"/>
          <w:i/>
          <w:sz w:val="20"/>
        </w:rPr>
        <w:t xml:space="preserve">provided </w:t>
      </w:r>
      <w:r>
        <w:rPr>
          <w:rFonts w:ascii="Times New Roman" w:hAnsi="Times New Roman"/>
          <w:sz w:val="20"/>
        </w:rPr>
        <w:t xml:space="preserve">that in no event shall the Company be obligated to qualify to do business in any jurisdiction where it is not now so qualified or to take any action that would subject it to service of process in suits, other than those arising out of the offering or sale of the Shares, or taxation in any jurisdiction where it is not now so subject. </w:t>
      </w:r>
    </w:p>
    <w:p>
      <w:pPr>
        <w:pStyle w:val="TextBody"/>
        <w:bidi w:val="0"/>
        <w:spacing w:before="120" w:after="0"/>
        <w:jc w:val="left"/>
        <w:rPr>
          <w:rFonts w:ascii="Times New Roman" w:hAnsi="Times New Roman"/>
          <w:sz w:val="20"/>
        </w:rPr>
      </w:pPr>
      <w:r>
        <w:rPr>
          <w:rFonts w:ascii="Times New Roman" w:hAnsi="Times New Roman"/>
          <w:sz w:val="20"/>
        </w:rPr>
        <w:t xml:space="preserve">(i) To make generally available to the Company’s security holders and to Morgan Stanley as soon as practicable an earnings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 </w:t>
      </w:r>
    </w:p>
    <w:p>
      <w:pPr>
        <w:pStyle w:val="TextBody"/>
        <w:bidi w:val="0"/>
        <w:spacing w:before="120" w:after="0"/>
        <w:jc w:val="left"/>
        <w:rPr>
          <w:rFonts w:ascii="Times New Roman" w:hAnsi="Times New Roman"/>
          <w:sz w:val="20"/>
        </w:rPr>
      </w:pPr>
      <w:r>
        <w:rPr>
          <w:rFonts w:ascii="Times New Roman" w:hAnsi="Times New Roman"/>
          <w:sz w:val="20"/>
        </w:rPr>
        <w:t xml:space="preserve">(j) If any Seller is not a U.S. person for U.S. federal income tax purposes, the Company will deliver to each Underwriter (or its agent), on or before the Closing Date, (i) a certificate with respect to the Company’s status as a “United States real property holding corporation,” dated not more than thirty (30) days prior to the Closing Date, as described in Treasury Regulations Sections 1.897-2(h) and 1.1445-2(c)(3), and (ii) proof of delivery to the IRS of the required notice, as described in Treasury Regulations 1.897-2(h)(2). </w:t>
      </w:r>
    </w:p>
    <w:p>
      <w:pPr>
        <w:pStyle w:val="TextBody"/>
        <w:bidi w:val="0"/>
        <w:spacing w:before="120" w:after="0"/>
        <w:jc w:val="left"/>
        <w:rPr>
          <w:rFonts w:ascii="Times New Roman" w:hAnsi="Times New Roman"/>
          <w:sz w:val="20"/>
        </w:rPr>
      </w:pPr>
      <w:r>
        <w:rPr>
          <w:rFonts w:ascii="Times New Roman" w:hAnsi="Times New Roman"/>
          <w:sz w:val="20"/>
        </w:rPr>
        <w:t xml:space="preserve">(k) If at any time following the distribution of any Testing-the-Waters Communication that is a written communication within the meaning of Rule 405 under the Securities Act there occurred or occurs an event or development as a result of which such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Morgan Stanley and will promptly amend or supplement, at its own expense, such Testing-the-Waters Communication to eliminate or correct such untrue statement or omission.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Company also covenants with each Underwriter that, without the prior written consent of Morgan Stanley on behalf of the Underwriters, it will not, and will not publicly disclose an intention to, during the period ending 60 days after the date of the Prospectus (the “</w:t>
      </w:r>
      <w:r>
        <w:rPr>
          <w:rFonts w:ascii="Times New Roman" w:hAnsi="Times New Roman"/>
          <w:b/>
          <w:sz w:val="20"/>
        </w:rPr>
        <w:t>Restricted Period</w:t>
      </w:r>
      <w:r>
        <w:rPr>
          <w:rFonts w:ascii="Times New Roman" w:hAnsi="Times New Roman"/>
          <w:sz w:val="20"/>
        </w:rPr>
        <w:t xml:space="preserve">”),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(2) enter into any swap, loan or other arrangement (including, without limitation, any short sale or the purchase or sale of, or entry into, any put or call option, or combination thereof, forward or any other derivative transaction or instrument, however described or defined) that transfers to another, in whole or in part, directly or indirectly, any of the economic consequences of ownership of the Common Stock, whether any such transaction described in clause 1 or 2 above is to be settled by delivery of Common Stock or such other securities, in cash or otherwise, (3) file any registration statement with the Commission relating to the offering of any shares of Common Stock or any securities convertible into or exercisable or exchangeable for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contained in the preceding paragraph shall not apply to (A) the Shares to be sold hereunder, (B) the issuance by the Company of shares of Common Stock upon the exercise of an option or warrant (including net exercise), settlement of restricted stock units (including net settlement) or the conversion of a security outstanding on the date hereof as described in each of the Time of Sale Prospectus and Prospectus, (C) the grant of compensatory equity-based awards and/or the issuance of shares of Common Stock with respect thereto, or the filing of any registration statement on Form S-8 (including any resale registration statement on Form S-8) relating to securities granted, issued or to be granted pursuant to any equity incentive plans or employment benefit plans described in the Time of Sale Prospectus and Prospectus, (D) Common Stock or any securities convertible into, or exercisable or exchangeable for, Common Stock, or the entrance into an agreement to issue Common Stock or any securities convertible into, or exercisable or exchangeable for, Common Stock, in connection with any merger, joint venture, strategic alliances, commercial or other collaborative transaction or the acquisition or license of the business, property, technology or other assets of another individual or entity or the assumption of an employee benefit plan in connection with a merger or acquisition; provided that the aggregate number of Common Stock or any securities convertible into, or exercisable or exchangeable for, Common Stock that the Company may issue or agree to issue pursuant to this clause (D) shall not exceed 10% of the total outstanding share capital of the Company immediately following the issuance of the Shares, (E) facilitating the establishment of a trading plan on behalf of a shareholder, officer or director of the Company pursuant to Rule 10b5-1 under the Exchange Act for the transfer of shares of Common Stock, </w:t>
      </w:r>
      <w:r>
        <w:rPr>
          <w:rFonts w:ascii="Times New Roman" w:hAnsi="Times New Roman"/>
          <w:i/>
          <w:sz w:val="20"/>
        </w:rPr>
        <w:t>provided</w:t>
      </w:r>
      <w:r>
        <w:rPr>
          <w:rFonts w:ascii="Times New Roman" w:hAnsi="Times New Roman"/>
          <w:sz w:val="20"/>
        </w:rPr>
        <w:t xml:space="preserve"> that (i) such plan does not provide for the transfer of Common Stock during the Restricted Period and (ii) to the extent a public announcement or filing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 the Exchange Act, if any, is required of or voluntarily made by the Company regarding the establishment of such plan, such announcement or filing shall include a statement to the effect that no transfer of Common Stock may be made under such plan during the Restricted Period or (F) any shares of Common Stock issued pursuant to any non-employee director stock plan or dividend reinvestment plan referred to in the Registration Statement, the Time of Sale Prospectus and the Prospectus. If Morgan Stanley, in its sole discretion, agrees to release or waive the restrictions on the transfer of Shares set forth in a Lock-up Agreement for an officer or director of the Company and provides the Company with notice of the impending release or waiver at least three business days before the effective date of the release or waiver, the Company agrees to announce the impending release or waiver by a press release substantially in the form of Exhibit B hereto through a major news service at least two business days before the effective date of the release or waiver. </w:t>
      </w:r>
    </w:p>
    <w:p>
      <w:pPr>
        <w:pStyle w:val="TextBody"/>
        <w:bidi w:val="0"/>
        <w:spacing w:before="120" w:after="0"/>
        <w:jc w:val="left"/>
        <w:rPr>
          <w:rFonts w:ascii="Times New Roman" w:hAnsi="Times New Roman"/>
          <w:sz w:val="20"/>
        </w:rPr>
      </w:pPr>
      <w:r>
        <w:rPr>
          <w:rFonts w:ascii="Times New Roman" w:hAnsi="Times New Roman"/>
          <w:sz w:val="20"/>
        </w:rPr>
        <w:t xml:space="preserve">(l) The Company will use its best efforts to effect and maintain the listing of the Shares on the NASDAQ Global Select Market.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i/>
          <w:sz w:val="20"/>
        </w:rPr>
        <w:t>Covenants of the Sellers</w:t>
      </w:r>
      <w:r>
        <w:rPr>
          <w:rFonts w:ascii="Times New Roman" w:hAnsi="Times New Roman"/>
          <w:sz w:val="20"/>
        </w:rPr>
        <w:t xml:space="preserve">. Each Seller, severally and not jointly, covenants with each Underwriter as follows: </w:t>
      </w:r>
    </w:p>
    <w:p>
      <w:pPr>
        <w:pStyle w:val="TextBody"/>
        <w:bidi w:val="0"/>
        <w:spacing w:before="120" w:after="0"/>
        <w:jc w:val="left"/>
        <w:rPr>
          <w:rFonts w:ascii="Times New Roman" w:hAnsi="Times New Roman"/>
          <w:sz w:val="20"/>
        </w:rPr>
      </w:pPr>
      <w:r>
        <w:rPr>
          <w:rFonts w:ascii="Times New Roman" w:hAnsi="Times New Roman"/>
          <w:sz w:val="20"/>
        </w:rPr>
        <w:t>(a) Each Seller will deliver to each Underwriter (or its agent), prior to or at the Closing Date, a properly completed and executed Internal Revenue Service (“</w:t>
      </w:r>
      <w:r>
        <w:rPr>
          <w:rFonts w:ascii="Times New Roman" w:hAnsi="Times New Roman"/>
          <w:b/>
          <w:sz w:val="20"/>
        </w:rPr>
        <w:t>IRS</w:t>
      </w:r>
      <w:r>
        <w:rPr>
          <w:rFonts w:ascii="Times New Roman" w:hAnsi="Times New Roman"/>
          <w:sz w:val="20"/>
        </w:rPr>
        <w:t xml:space="preserve">”) Form W-9 or an IRS Form W-8, as appropriate, together with all required attachments to such form. </w:t>
      </w:r>
    </w:p>
    <w:p>
      <w:pPr>
        <w:pStyle w:val="TextBody"/>
        <w:bidi w:val="0"/>
        <w:spacing w:before="120" w:after="0"/>
        <w:jc w:val="left"/>
        <w:rPr>
          <w:rFonts w:ascii="Times New Roman" w:hAnsi="Times New Roman"/>
          <w:sz w:val="20"/>
        </w:rPr>
      </w:pPr>
      <w:r>
        <w:rPr>
          <w:rFonts w:ascii="Times New Roman" w:hAnsi="Times New Roman"/>
          <w:sz w:val="20"/>
        </w:rPr>
        <w:t xml:space="preserve">(b) Each Seller will deliver to each Underwriter (or its agent), on the date of execution of this Agreement, a properly completed and executed Certification Regarding Beneficial Owners of Legal Entity Customers, together with copies of identifying documentation, and each Seller undertakes to provide such additional supporting documentation as each Underwriter may reasonably request in connection with the verification of the foregoing Certification.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i/>
          <w:sz w:val="20"/>
        </w:rPr>
        <w:t>Expenses</w:t>
      </w:r>
      <w:r>
        <w:rPr>
          <w:rFonts w:ascii="Times New Roman" w:hAnsi="Times New Roman"/>
          <w:sz w:val="20"/>
        </w:rPr>
        <w:t xml:space="preserve">. Whether or not the transactions contemplated in this Agreement are consummated or this Agreement is terminated, the Selling Shareholder agrees to pay or cause to be paid all expenses incident to the performance of their and the Company’s obligations under this Agreement to the extent such expenses are reasonable, documented and out-of-pocket, including the following expenses to the extent such expenses are reasonable, documented and out-of-pocket: (i) the reasonable and documented fees, disbursements and expenses of the Company’s counsel, the Company’s accountants and counsel for the Selling Shareholder in connection with the registration and delivery of the Shares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delivery of the Shares to the Underwriters, including any transfer or other taxes payable thereon, (iii) the cost of printing or producing any Blue Sky or Legal Investment memorandum in connection with the offer and sale of the Shares under state securities laws and all expenses in connection with the qualification of the Shares for offer and sale under state securities laws as provided in Section 7(g) hereof, including filing fees and the reasonable and documented fees and disbursements of counsel for the Underwriters in connection with such qualification and in connection with the Blue Sky or Legal Investment memorandum (</w:t>
      </w:r>
      <w:r>
        <w:rPr>
          <w:rFonts w:ascii="Times New Roman" w:hAnsi="Times New Roman"/>
          <w:i/>
          <w:sz w:val="20"/>
        </w:rPr>
        <w:t xml:space="preserve">provided </w:t>
      </w:r>
      <w:r>
        <w:rPr>
          <w:rFonts w:ascii="Times New Roman" w:hAnsi="Times New Roman"/>
          <w:sz w:val="20"/>
        </w:rPr>
        <w:t>that such reasonable and documented fees and disbursements of counsel to the Underwriters pursuant to this clause (iii) shall not exceed $5,000), (iv) all filing fees and the reasonable and documented fees and disbursements of counsel to the Underwriters incurred in connection with the review and qualification of the offering of the Shares by the Financial Industry Regulatory Authority (</w:t>
      </w:r>
      <w:r>
        <w:rPr>
          <w:rFonts w:ascii="Times New Roman" w:hAnsi="Times New Roman"/>
          <w:i/>
          <w:sz w:val="20"/>
        </w:rPr>
        <w:t xml:space="preserve">provided </w:t>
      </w:r>
      <w:r>
        <w:rPr>
          <w:rFonts w:ascii="Times New Roman" w:hAnsi="Times New Roman"/>
          <w:sz w:val="20"/>
        </w:rPr>
        <w:t xml:space="preserve">that such reasonable and documented fees and disbursements of counsel to the Underwriters pursuant to this clause (iv) shall not exceed $15,000), (v) all costs and expenses incident to listing the Shares on the Nasdaq Global Select Market, (vi) the cost of printing certificates representing the Shares, (vii) the costs and charges of any transfer agent, registrar or depositary, (viii)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the cost of any aircraft chartered in connection with the road show, (ix) the document production charges and expenses associated with printing this Agreement and (x) all other costs and expenses incident to the performance of the obligations of the Company and the Selling Shareholder hereunder for which provision is not otherwise made in this Section; </w:t>
      </w:r>
      <w:r>
        <w:rPr>
          <w:rFonts w:ascii="Times New Roman" w:hAnsi="Times New Roman"/>
          <w:i/>
          <w:sz w:val="20"/>
        </w:rPr>
        <w:t>provided</w:t>
      </w:r>
      <w:r>
        <w:rPr>
          <w:rFonts w:ascii="Times New Roman" w:hAnsi="Times New Roman"/>
          <w:sz w:val="20"/>
        </w:rPr>
        <w:t> that, notwithstanding anything to the contrary in this Agreement, (A) all such expenses invoiced and payable by the Selling Shareholder under this Section 9 as of the Closing Date (the “</w:t>
      </w:r>
      <w:r>
        <w:rPr>
          <w:rFonts w:ascii="Times New Roman" w:hAnsi="Times New Roman"/>
          <w:b/>
          <w:sz w:val="20"/>
        </w:rPr>
        <w:t>Company Expenses</w:t>
      </w:r>
      <w:r>
        <w:rPr>
          <w:rFonts w:ascii="Times New Roman" w:hAnsi="Times New Roman"/>
          <w:sz w:val="20"/>
        </w:rPr>
        <w:t xml:space="preserve">”) shall be paid solely out of, and netted against, the proceeds otherwise payable to the Selling Shareholder from the sale of the Shares on the Closing Date, (B) on or prior to the Closing Date, the Company shall deliver to the Selling Shareholder a good-faith estimate of all expenses described in this Section 9 that remain unpaid or uninvoiced as of the Closing Date but that are expected to be incurred or invoiced following the Closing Date, and (C) the actual amounts of expenses payable by the Selling Shareholder under this Section 9 not incurred or invoiced as of the Closing Date shall be paid by the Selling Shareholder directly to the Company promptly (but in no event later than 10 business days) following the delivery of an invoice for such expenses to the Selling Shareholder. It is understood, however, that the Selling Shareholder shall not be required to pay the cost of any other matters not directly relating to the sale and purchase of the Shares pursuant to this Agreement, and except as provided in this Section, Section 11 entitled “Indemnity and Contribution” and the last paragraph of Section 13 below, the Underwriters will pay all of their costs and expenses, including fees and disbursements of their counsel, stock transfer taxes payable on resale of any of the Shares by them and any advertising expenses connected with any offers they may make.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provisions of this Section shall not supersede or otherwise affect any agreement that the Sellers may otherwise have for the allocation of such expenses among themselves.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i/>
          <w:sz w:val="20"/>
        </w:rPr>
        <w:t>Covenants of the Underwriters</w:t>
      </w:r>
      <w:r>
        <w:rPr>
          <w:rFonts w:ascii="Times New Roman" w:hAnsi="Times New Roman"/>
          <w:sz w:val="20"/>
        </w:rPr>
        <w:t xml:space="preserve">. Each Underwriter, severally and not jointly, covenants with the Company not to take any action that would result in the Company being required to file with the Commission under Rule 433(d) a free writing prospectus prepared by or on behalf of such Underwriter that otherwise would not be required to be filed by the Company thereunder, but for the action of the Underwriter.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i/>
          <w:sz w:val="20"/>
        </w:rPr>
        <w:t>Indemnity and Contribution</w:t>
      </w:r>
      <w:r>
        <w:rPr>
          <w:rFonts w:ascii="Times New Roman" w:hAnsi="Times New Roman"/>
          <w:sz w:val="20"/>
        </w:rPr>
        <w:t xml:space="preserve">. (a) The Company agrees to indemnify and hold harmless each Underwriter, each person, if any, who controls any Underwriter within the meaning of either Section 15 of the Securities Act or Section 20 of the Exchange Act, and each affiliate of any Underwriter within the meaning of Rule 405 under the Securities Act and their respective directors, officers and employees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“road show”), the Prospectus or any amendment or supplement thereto, or any Testing-the-Waters Communication, or arise out of, or are based upon, any omission or alleged omission to state therein a material fact required to be stated therein or necessary to make the statements therein not misleading, except insofar as such losses, claims, damages or liabilities arise out of, or are based upon, any such untrue statement or omission or alleged untrue statement or omission made in reliance upon and in conformity with any information relating to any Underwriter furnished to the Company in writing by such Underwriter through Morgan Stanley expressly for use therein, it being understood and agreed that the only such information furnished by the Underwriters through Morgan Stanley consists of the information described as such in paragraph (c) below. </w:t>
      </w:r>
    </w:p>
    <w:p>
      <w:pPr>
        <w:pStyle w:val="TextBody"/>
        <w:bidi w:val="0"/>
        <w:spacing w:before="120" w:after="0"/>
        <w:jc w:val="left"/>
        <w:rPr>
          <w:rFonts w:ascii="Times New Roman" w:hAnsi="Times New Roman"/>
          <w:sz w:val="20"/>
        </w:rPr>
      </w:pPr>
      <w:r>
        <w:rPr>
          <w:rFonts w:ascii="Times New Roman" w:hAnsi="Times New Roman"/>
          <w:sz w:val="20"/>
        </w:rPr>
        <w:t xml:space="preserve">(b) The Selling Shareholder agrees to indemnify and hold harmless (i) the Company, its directors, its officers who sign the Registration Statement and each person, if any, who controls the Company within the meaning of either Section 15 of the Securities Act or Section 20 of the Exchange Act, and (ii) each Underwriter and each person, if any, who controls any Underwriter within the meaning of either Section 15 of the Securities Act or Section 20 of the Exchange Act, and each affiliate of any Underwriter within the meaning of Rule 405 under the Securities Act and their respective directors, officers and employees, from and against any and all losses, claims, damages and liabilities (including, without limitation, any legal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expenses reasonably incurred in connection with defending or investigating any such action or claim) that arise out of, or are based upon,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road show, the Prospectus or any amendment or supplement thereto, or any Testing-the-Waters Communication (any such document, an “</w:t>
      </w:r>
      <w:r>
        <w:rPr>
          <w:rFonts w:ascii="Times New Roman" w:hAnsi="Times New Roman"/>
          <w:b/>
          <w:sz w:val="20"/>
        </w:rPr>
        <w:t>Offering Document</w:t>
      </w:r>
      <w:r>
        <w:rPr>
          <w:rFonts w:ascii="Times New Roman" w:hAnsi="Times New Roman"/>
          <w:sz w:val="20"/>
        </w:rPr>
        <w:t>”) or arise out of, or are based upon, any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Offering Document in reliance upon and in conformity with the Selling Shareholder Information. The “</w:t>
      </w:r>
      <w:r>
        <w:rPr>
          <w:rFonts w:ascii="Times New Roman" w:hAnsi="Times New Roman"/>
          <w:b/>
          <w:sz w:val="20"/>
        </w:rPr>
        <w:t>Selling Shareholder Information</w:t>
      </w:r>
      <w:r>
        <w:rPr>
          <w:rFonts w:ascii="Times New Roman" w:hAnsi="Times New Roman"/>
          <w:sz w:val="20"/>
        </w:rPr>
        <w:t xml:space="preserve">” shall mean (i) the legal name, address and the number of Shares owned by such Selling Shareholder before and after the offering and (ii) the other information with respect to such Selling Shareholder (excluding percentages) which appear in the table (and corresponding footnotes) under the caption “Selling Stockholder.” The liability of the Selling Shareholder under the indemnity agreement contained in this paragraph shall be limited to an amount equal to the net proceeds (after deducting underwriting discounts and commissions but before deducting expenses) received by such Selling Shareholder from the sale of Shares hereunder. </w:t>
      </w:r>
    </w:p>
    <w:p>
      <w:pPr>
        <w:pStyle w:val="TextBody"/>
        <w:bidi w:val="0"/>
        <w:spacing w:before="120" w:after="0"/>
        <w:jc w:val="left"/>
        <w:rPr>
          <w:rFonts w:ascii="Times New Roman" w:hAnsi="Times New Roman"/>
          <w:sz w:val="20"/>
        </w:rPr>
      </w:pPr>
      <w:r>
        <w:rPr>
          <w:rFonts w:ascii="Times New Roman" w:hAnsi="Times New Roman"/>
          <w:sz w:val="20"/>
        </w:rPr>
        <w:t>(c) Each Underwriter agrees, severally and not jointly, to indemnify and hold harmless the Company, the Selling Shareholder, the directors of the Company, the officers of the Company who sign the Registration Statement and each person, if any, who controls the Company or the Selling Shareholder within the meaning of either Section 15 of the Securities Act or Section 20 of the Exchange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or the Prospectus or any amendment or supplement thereto, or arise out of, or are based upon, any omission or alleged omission to state therein a material fact required to be stated therein or necessary to make the statements therein not misleading, but only with reference to information relating to such Underwriter furnished to the Company in writing by such Underwriter through Morgan Stanley expressly for use in the Registration Statement, any preliminary prospectus, the Time of Sale Prospectus, any issuer free writing prospectus, road show or the Prospectus or any amendment or supplement thereto, it being understood and agreed that the only such information furnished by any Underwriter consists of the following information in the Prospectus furnished on behalf of each Underwriter: the selling concession amount appearing in the third paragraph under the caption “Underwriting”, and the information concerning stabilization in the fourteenth paragraph under the caption “Underwriting” (the “</w:t>
      </w:r>
      <w:r>
        <w:rPr>
          <w:rFonts w:ascii="Times New Roman" w:hAnsi="Times New Roman"/>
          <w:b/>
          <w:sz w:val="20"/>
        </w:rPr>
        <w:t>Underwriter Information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In case any proceeding (including any governmental investigation) shall be instituted involving any person in respect of which indemnity may be sought pursuant to Section 11(a), 11(b) or 11(c), such person (the “</w:t>
      </w:r>
      <w:r>
        <w:rPr>
          <w:rFonts w:ascii="Times New Roman" w:hAnsi="Times New Roman"/>
          <w:b/>
          <w:sz w:val="20"/>
        </w:rPr>
        <w:t>indemnified party</w:t>
      </w:r>
      <w:r>
        <w:rPr>
          <w:rFonts w:ascii="Times New Roman" w:hAnsi="Times New Roman"/>
          <w:sz w:val="20"/>
        </w:rPr>
        <w:t>”) shall promptly notify the person against whom such indemnity may be sought (the “</w:t>
      </w:r>
      <w:r>
        <w:rPr>
          <w:rFonts w:ascii="Times New Roman" w:hAnsi="Times New Roman"/>
          <w:b/>
          <w:sz w:val="20"/>
        </w:rPr>
        <w:t>indemnifying party</w:t>
      </w:r>
      <w:r>
        <w:rPr>
          <w:rFonts w:ascii="Times New Roman" w:hAnsi="Times New Roman"/>
          <w:sz w:val="20"/>
        </w:rPr>
        <w:t xml:space="preserve">”)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In the case of any such separate firm for the Underwriters and such control persons and affiliates of any Underwriters, such firm shall be designated in writing by Morgan Stanley. In the case of any such separate firm for the Company, and such directors, officers and control persons of the Company, such firm shall be designated in writing by the Company. In the case of any such separate firm for the Selling Shareholder and such control persons of the Selling Shareholder, such firm shall be designated in writing by the Selling Shareholder.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does not include a statement as to, or an admission of fault, wrongdoing, culpability or a failure to act by or on behalf of any indemnified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To the extent the indemnification provided for in Section 11(a), 11(b) or 11(c)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indemnifying party or parties on the one hand and the indemnified party or parties on the other hand from the offering of the Shares or (ii) if the allocation provided by clause 11(e)(i) above is not permitted by applicable law, in such proportion as is appropriate to reflect not only the relative benefits referred to in clause 11(e)(i) above but also the relative fault of the indemnifying party or parties on the one hand and of the indemnified party or parties on the other hand in connection with the statements or omissions that resulted in such losses, claims, damages or liabilities, as well as any other relevant equitable considerations. The relative benefits received by the Sellers on the one hand and the Underwriters on the other hand in connection with the offering of the Shares shall be deemed to be in the same respective proportions as the net proceeds from the offering of the Shares (before deducting expenses) received by each Seller and the total underwriting discounts and commissions received by the Underwriters, in each case as set forth in the table on the cover of the Prospectus, bear to the aggregate Public Offering Price of the Shares. The relative fault of the Sellers on the one hand and the Underwriters on the other hand shall be determined by reference to, among other things, whether the untrue or alleged untrue statement of a material fact or the omission or alleged omission to state a material fact relates to information supplied by the Sellers or by the Underwriters and the parties’ relative intent, knowledge, access to information and opportunity to correct or prevent such statement or omission. The Underwriters’ respective obligations to contribute pursuant to this Section 11 are several in proportion to the respective number of Shares they have purchased hereunder, and not joint. The liability of the Selling Shareholder under the contribution agreement contained in this paragraph shall be limited to an amount equal to the net proceeds (after deducting underwriting discounts and commissions but before deducting expenses) received by such Selling Shareholder from the sale of Shares hereunder. </w:t>
      </w:r>
    </w:p>
    <w:p>
      <w:pPr>
        <w:pStyle w:val="TextBody"/>
        <w:bidi w:val="0"/>
        <w:spacing w:before="120" w:after="0"/>
        <w:jc w:val="left"/>
        <w:rPr>
          <w:rFonts w:ascii="Times New Roman" w:hAnsi="Times New Roman"/>
          <w:sz w:val="20"/>
        </w:rPr>
      </w:pPr>
      <w:r>
        <w:rPr>
          <w:rFonts w:ascii="Times New Roman" w:hAnsi="Times New Roman"/>
          <w:sz w:val="20"/>
        </w:rPr>
        <w:t xml:space="preserve">(f) The Sellers and the Underwriters agree that it would not be just or equitable if contribution pursuant to this Section 11 were determined by </w:t>
      </w:r>
      <w:r>
        <w:rPr>
          <w:rFonts w:ascii="Times New Roman" w:hAnsi="Times New Roman"/>
          <w:i/>
          <w:sz w:val="20"/>
        </w:rPr>
        <w:t>pro rata</w:t>
      </w:r>
      <w:r>
        <w:rPr>
          <w:rFonts w:ascii="Times New Roman" w:hAnsi="Times New Roman"/>
          <w:sz w:val="20"/>
        </w:rPr>
        <w:t xml:space="preserve"> allocation (even if the Underwriters were treated as one entity for such purpose) or by any other method of allocation that does not take account of the equitable considerations referred to in Section 11(e). The amount paid or payable by an indemnified party as a result of the losses, claims, damages and liabilities referred to in Section 11(e) shall be deemed to include, subject to the limitations set forth above, any legal or other expenses reasonably incurred by such indemnified party in connection with investigating or defending any such action or claim. Notwithstanding the provisions of this Section 11, no Underwriter shall be required to contribute any amount in excess of the amount by which the total price at which the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11 are not exclusive and shall not limit any rights or remedies which may otherwise be available to any indemnified party at law or in equity. </w:t>
      </w:r>
    </w:p>
    <w:p>
      <w:pPr>
        <w:pStyle w:val="TextBody"/>
        <w:bidi w:val="0"/>
        <w:spacing w:before="120" w:after="0"/>
        <w:jc w:val="left"/>
        <w:rPr>
          <w:rFonts w:ascii="Times New Roman" w:hAnsi="Times New Roman"/>
          <w:sz w:val="20"/>
        </w:rPr>
      </w:pPr>
      <w:r>
        <w:rPr>
          <w:rFonts w:ascii="Times New Roman" w:hAnsi="Times New Roman"/>
          <w:sz w:val="20"/>
        </w:rPr>
        <w:t xml:space="preserve">(g) The indemnity and contribution provisions contained in this Section 11 and the representations, warranties and other statements of the Company and the Selling Shareholder contained in this Agreement shall remain operative and in full force and effect regardless of (i) any termination of this Agreement, (ii) any investigation made by or on behalf of any Underwriter, any person controlling any Underwriter or any affiliate of any Underwriter, or by or on behalf of the Selling Shareholder or any person controlling the Selling Shareholder, or by or on behalf of the Company, its officers or directors or any person controlling the Company and (iii) acceptance of and payment for any of the Shares. </w:t>
      </w:r>
    </w:p>
    <w:p>
      <w:pPr>
        <w:pStyle w:val="TextBody"/>
        <w:bidi w:val="0"/>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i/>
          <w:sz w:val="20"/>
        </w:rPr>
        <w:t>Termination</w:t>
      </w:r>
      <w:r>
        <w:rPr>
          <w:rFonts w:ascii="Times New Roman" w:hAnsi="Times New Roman"/>
          <w:sz w:val="20"/>
        </w:rPr>
        <w:t xml:space="preserve">. The Underwriters may terminate this Agreement by notice given by Morgan Stanley to the Company, if after the execution and delivery of this Agreement and prior to or on the Closing Date or any Option Closing Date, as the case may be, (i) trading generally shall have been suspended or materially limited on, or by, as the case may be, any of the New York Stock Exchange, the NYSE American, the Nasdaq Global Select Market, the Chicago Board of Options Exchange, the Chicago Mercantile Exchange or the Chicago Board of Trade, (ii) trading of any securities of the Company shall have been suspended on any exchange or in any over-the-counter market, (iii) a material disruption in securities settlement, payment or clearance services in the United States shall have occurred, (iv) any moratorium on commercial banking activities shall have been declared by Federal or New York State authorities or (v) there shall have occurred any outbreak or escalation of hostilities, or any change in financial markets, or any calamity or crisis that, in Morgan Stanley’s judgment, is material and adverse and which, singly or together with any other event specified in this clause (v), makes it, in Morgan Stanley’s judgment, impracticable or inadvisable to proceed with the offer, sale or delivery of the Shares on the terms and in the manner contemplated in the Time of Sale Prospectus or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13. </w:t>
      </w:r>
      <w:r>
        <w:rPr>
          <w:rFonts w:ascii="Times New Roman" w:hAnsi="Times New Roman"/>
          <w:i/>
          <w:sz w:val="20"/>
        </w:rPr>
        <w:t>Effectiveness; Defaulting Underwriters</w:t>
      </w:r>
      <w:r>
        <w:rPr>
          <w:rFonts w:ascii="Times New Roman" w:hAnsi="Times New Roman"/>
          <w:sz w:val="20"/>
        </w:rPr>
        <w:t xml:space="preserve">. This Agreement shall become effective upon the execution and delivery hereof by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If, on the Closing Date or an Option Closing Date, as the case may be, any one or more of the Underwriters shall fail or refuse to purchase Shares that it has or they have agreed to purchase hereunder on such date, and the aggregate number of Shares which such defaulting Underwriter or Underwriters agreed but failed or refused to purchase is not more than one-tenth of the aggregate number of the Shares to be purchased on such date, the other Underwriters shall be obligated severally in the proportions that the number of Firm Shares set forth opposite their respective names in Schedule II bears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aggregate number of Firm Shares set forth opposite the names of all such non-defaulting Underwriters, or in such other proportions as Morgan Stanley may specify, to purchase the Shares which such defaulting Underwriter or Underwriters agreed but failed or refused to purchase on such date; </w:t>
      </w:r>
      <w:r>
        <w:rPr>
          <w:rFonts w:ascii="Times New Roman" w:hAnsi="Times New Roman"/>
          <w:i/>
          <w:sz w:val="20"/>
        </w:rPr>
        <w:t>provided</w:t>
      </w:r>
      <w:r>
        <w:rPr>
          <w:rFonts w:ascii="Times New Roman" w:hAnsi="Times New Roman"/>
          <w:sz w:val="20"/>
        </w:rPr>
        <w:t xml:space="preserve"> that in no event shall the number of Shares that any Underwriter has agreed to purchase pursuant to this Agreement be increased pursuant to this Section 13 by an amount in excess of one-ninth of such number of Shares without the written consent of such Underwriter. If, on the Closing Date, any Underwriter or Underwriters shall fail or refuse to purchase Firm Shares and the aggregate number of Firm Shares with respect to which such default occurs is more than one-tenth of the aggregate number of Firm Shares to be purchased on such date, and arrangements satisfactory to Morgan Stanley, the Company and the Selling Shareholder for the purchase of such Firm Shares are not made within 36 hours after such default, this Agreement shall terminate without liability on the part of any non-defaulting Underwriter, the Company or the Selling Shareholder. In any such case either Morgan Stanley or the relevant Sellers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Shares and the aggregate number of Additional Shares with respect to which such default occurs is more than one-tenth of the aggregate number of Additional Shares to be purchased on such Option Closing Date, the non-defaulting Underwriters shall have the option to (i) terminate their obligation hereunder to purchase the Additional Shares to be sold on such Option Closing Date or (ii) 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If this Agreement shall be terminated by the Underwriters, or any of them, because of any failure or refusal on the part of any Seller to comply with the terms or to fulfill any of the conditions of this Agreement, or if for any reason any Seller shall be unable to perform its obligations under this Agreement, the Sellers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contemplated hereunder. </w:t>
      </w:r>
    </w:p>
    <w:p>
      <w:pPr>
        <w:pStyle w:val="TextBody"/>
        <w:bidi w:val="0"/>
        <w:spacing w:before="120" w:after="0"/>
        <w:jc w:val="left"/>
        <w:rPr>
          <w:rFonts w:ascii="Times New Roman" w:hAnsi="Times New Roman"/>
          <w:sz w:val="20"/>
        </w:rPr>
      </w:pPr>
      <w:r>
        <w:rPr>
          <w:rFonts w:ascii="Times New Roman" w:hAnsi="Times New Roman"/>
          <w:sz w:val="20"/>
        </w:rPr>
        <w:t xml:space="preserve">14. </w:t>
      </w:r>
      <w:r>
        <w:rPr>
          <w:rFonts w:ascii="Times New Roman" w:hAnsi="Times New Roman"/>
          <w:i/>
          <w:sz w:val="20"/>
        </w:rPr>
        <w:t>Entire Agreement</w:t>
      </w:r>
      <w:r>
        <w:rPr>
          <w:rFonts w:ascii="Times New Roman" w:hAnsi="Times New Roman"/>
          <w:sz w:val="20"/>
        </w:rPr>
        <w:t xml:space="preserve">. (a) This Agreement, together with any contemporaneous written agreements and any prior written agreements (to the extent not superseded by this Agreement) that relate to the offering of the Shares, represents the entire agreement between the Company and the Selling Shareholder, on the one hand, and the Underwriters, on the other, with respect to the preparation of any preliminary prospectus, the Time of Sale Prospectus, the Prospectus, the conduct of the offering, and the purchase and sale of the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Company and the Selling Shareholder acknowledge that in connection with the offering of the Shares: (i) the Underwriters have acted at arm’s length, are not agents of, and owe no fiduciary duties to, the Company, the Selling Shareholder or any other person, (ii) the Underwriters owe the Company and the Selling Shareholder only those duties and obligations set forth in this Agreement, any contemporaneous written agreements and prior written agreements (to the extent not superseded by this Agreement), if any, (iii) the Underwriters may have interests that differ from those of the Company and the Selling Shareholder, and (iv) none of the activities of the Underwriters in connection with the transactions contemplated herein constitutes a recommendation, investment advice, or solicitation of any action by the Underwriters with respect to any entity or natural person. The Company and the Selling Shareholder waive to the full extent permitted by applicable law any claims it may have against the Underwriters arising from an alleged breach of fiduciary duty in connection with the offering of the Shares. </w:t>
      </w:r>
    </w:p>
    <w:p>
      <w:pPr>
        <w:pStyle w:val="TextBody"/>
        <w:bidi w:val="0"/>
        <w:spacing w:before="120" w:after="0"/>
        <w:jc w:val="left"/>
        <w:rPr>
          <w:rFonts w:ascii="Times New Roman" w:hAnsi="Times New Roman"/>
          <w:sz w:val="20"/>
        </w:rPr>
      </w:pPr>
      <w:r>
        <w:rPr>
          <w:rFonts w:ascii="Times New Roman" w:hAnsi="Times New Roman"/>
          <w:sz w:val="20"/>
        </w:rPr>
        <w:t xml:space="preserve">(c) The Selling Shareholder further acknowledges and agrees that, although the Underwriters may provide the Selling Shareholder with certain Regulation Best Interest and Form CRS disclosures or other related documentation in connection with the offering, the Underwriters are not making a recommendation to the Selling Shareholder to participate in the offering or sell any Shares at the Purchase Price, and nothing set forth in such disclosures or documentation is intended to suggest that any Underwriter is making such a recommendation. </w:t>
      </w:r>
    </w:p>
    <w:p>
      <w:pPr>
        <w:pStyle w:val="TextBody"/>
        <w:bidi w:val="0"/>
        <w:spacing w:before="120" w:after="0"/>
        <w:jc w:val="left"/>
        <w:rPr>
          <w:rFonts w:ascii="Times New Roman" w:hAnsi="Times New Roman"/>
          <w:sz w:val="20"/>
        </w:rPr>
      </w:pPr>
      <w:r>
        <w:rPr>
          <w:rFonts w:ascii="Times New Roman" w:hAnsi="Times New Roman"/>
          <w:sz w:val="20"/>
        </w:rPr>
        <w:t xml:space="preserve">15. </w:t>
      </w:r>
      <w:r>
        <w:rPr>
          <w:rFonts w:ascii="Times New Roman" w:hAnsi="Times New Roman"/>
          <w:i/>
          <w:sz w:val="20"/>
        </w:rPr>
        <w:t>Recognition of the U.S. Special Resolution Regimes</w:t>
      </w:r>
      <w:r>
        <w:rPr>
          <w:rFonts w:ascii="Times New Roman" w:hAnsi="Times New Roman"/>
          <w:sz w:val="20"/>
        </w:rPr>
        <w:t xml:space="preserve">. (a)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 </w:t>
      </w:r>
    </w:p>
    <w:p>
      <w:pPr>
        <w:pStyle w:val="TextBody"/>
        <w:bidi w:val="0"/>
        <w:spacing w:before="120" w:after="0"/>
        <w:jc w:val="left"/>
        <w:rPr>
          <w:rFonts w:ascii="Times New Roman" w:hAnsi="Times New Roman"/>
          <w:sz w:val="20"/>
        </w:rPr>
      </w:pPr>
      <w:r>
        <w:rPr>
          <w:rFonts w:ascii="Times New Roman" w:hAnsi="Times New Roman"/>
          <w:sz w:val="20"/>
        </w:rPr>
        <w:t xml:space="preserve">(b)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For purposes of this Section a “</w:t>
      </w:r>
      <w:r>
        <w:rPr>
          <w:rFonts w:ascii="Times New Roman" w:hAnsi="Times New Roman"/>
          <w:b/>
          <w:sz w:val="20"/>
        </w:rPr>
        <w:t>BHC Act Affiliate</w:t>
      </w:r>
      <w:r>
        <w:rPr>
          <w:rFonts w:ascii="Times New Roman" w:hAnsi="Times New Roman"/>
          <w:sz w:val="20"/>
        </w:rPr>
        <w:t>” has the meaning assigned to the term “affiliate” in, and shall be interpreted in accordance with, 12 U.S.C. § 1841(k). “</w:t>
      </w:r>
      <w:r>
        <w:rPr>
          <w:rFonts w:ascii="Times New Roman" w:hAnsi="Times New Roman"/>
          <w:b/>
          <w:sz w:val="20"/>
        </w:rPr>
        <w:t>Covered Entity</w:t>
      </w:r>
      <w:r>
        <w:rPr>
          <w:rFonts w:ascii="Times New Roman" w:hAnsi="Times New Roman"/>
          <w:sz w:val="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hAnsi="Times New Roman"/>
          <w:b/>
          <w:sz w:val="20"/>
        </w:rPr>
        <w:t>Default Right</w:t>
      </w:r>
      <w:r>
        <w:rPr>
          <w:rFonts w:ascii="Times New Roman" w:hAnsi="Times New Roman"/>
          <w:sz w:val="20"/>
        </w:rPr>
        <w:t>” has the meaning assigned to that term in, and shall be interpreted in accordance with, 12 C.F.R. §§ 252.81, 47.2 or 382.1, as applicable. “</w:t>
      </w:r>
      <w:r>
        <w:rPr>
          <w:rFonts w:ascii="Times New Roman" w:hAnsi="Times New Roman"/>
          <w:b/>
          <w:sz w:val="20"/>
        </w:rPr>
        <w:t>U.S. Special Resolution Regime</w:t>
      </w:r>
      <w:r>
        <w:rPr>
          <w:rFonts w:ascii="Times New Roman" w:hAnsi="Times New Roman"/>
          <w:sz w:val="20"/>
        </w:rPr>
        <w:t xml:space="preserv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16. </w:t>
      </w:r>
      <w:r>
        <w:rPr>
          <w:rFonts w:ascii="Times New Roman" w:hAnsi="Times New Roman"/>
          <w:i/>
          <w:sz w:val="20"/>
        </w:rPr>
        <w:t>Counterparts; Electronic Signatures</w:t>
      </w:r>
      <w:r>
        <w:rPr>
          <w:rFonts w:ascii="Times New Roman" w:hAnsi="Times New Roman"/>
          <w:sz w:val="20"/>
        </w:rPr>
        <w:t xml:space="preserve">. This Agreement may be signed in two or more counterparts, each of which shall be an original, with the same effect as if the signatures thereto and hereto were upon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 </w:t>
      </w:r>
    </w:p>
    <w:p>
      <w:pPr>
        <w:pStyle w:val="TextBody"/>
        <w:bidi w:val="0"/>
        <w:spacing w:before="120" w:after="0"/>
        <w:jc w:val="left"/>
        <w:rPr>
          <w:rFonts w:ascii="Times New Roman" w:hAnsi="Times New Roman"/>
          <w:sz w:val="20"/>
        </w:rPr>
      </w:pPr>
      <w:r>
        <w:rPr>
          <w:rFonts w:ascii="Times New Roman" w:hAnsi="Times New Roman"/>
          <w:sz w:val="20"/>
        </w:rPr>
        <w:t xml:space="preserve">17. </w:t>
      </w:r>
      <w:r>
        <w:rPr>
          <w:rFonts w:ascii="Times New Roman" w:hAnsi="Times New Roman"/>
          <w:i/>
          <w:sz w:val="20"/>
        </w:rPr>
        <w:t>Applicable Law</w:t>
      </w:r>
      <w:r>
        <w:rPr>
          <w:rFonts w:ascii="Times New Roman" w:hAnsi="Times New Roman"/>
          <w:sz w:val="20"/>
        </w:rPr>
        <w:t xml:space="preserve">. This Agreement shall be governed by and construed in accordance with the internal laws of the State of New York. </w:t>
      </w:r>
    </w:p>
    <w:p>
      <w:pPr>
        <w:pStyle w:val="TextBody"/>
        <w:bidi w:val="0"/>
        <w:spacing w:before="120" w:after="0"/>
        <w:jc w:val="left"/>
        <w:rPr>
          <w:rFonts w:ascii="Times New Roman" w:hAnsi="Times New Roman"/>
          <w:sz w:val="20"/>
        </w:rPr>
      </w:pPr>
      <w:r>
        <w:rPr>
          <w:rFonts w:ascii="Times New Roman" w:hAnsi="Times New Roman"/>
          <w:sz w:val="20"/>
        </w:rPr>
        <w:t xml:space="preserve">18. </w:t>
      </w:r>
      <w:r>
        <w:rPr>
          <w:rFonts w:ascii="Times New Roman" w:hAnsi="Times New Roman"/>
          <w:i/>
          <w:sz w:val="20"/>
        </w:rPr>
        <w:t>Headings</w:t>
      </w:r>
      <w:r>
        <w:rPr>
          <w:rFonts w:ascii="Times New Roman" w:hAnsi="Times New Roman"/>
          <w:sz w:val="20"/>
        </w:rPr>
        <w:t xml:space="preserve">. The headings of the sections of this Agreement have been inserted for convenience of reference only and shall not be deemed a part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19. </w:t>
      </w:r>
      <w:r>
        <w:rPr>
          <w:rFonts w:ascii="Times New Roman" w:hAnsi="Times New Roman"/>
          <w:i/>
          <w:sz w:val="20"/>
        </w:rPr>
        <w:t xml:space="preserve">Notices. </w:t>
      </w:r>
      <w:r>
        <w:rPr>
          <w:rFonts w:ascii="Times New Roman" w:hAnsi="Times New Roman"/>
          <w:sz w:val="20"/>
        </w:rPr>
        <w:t xml:space="preserve">All communications hereunder shall be in writing and effective only upon receipt and if to the Underwriters shall be delivered, mailed or sent to Morgan Stanley at 1585 Broadway, New York, New York 10036, Attention: Equity Syndicate Desk, with a copy to the Legal and Compliance Division; if to the Company shall be delivered, mailed or sent to PDF Solutions, Inc., 2858 De La Cruz Blvd., Santa Clara, CA 95050, and if to the Selling Shareholder shall be delivered, mailed or sent to Advantest America, Inc. 3061 Zanker Road, San Jose, CA 95134, Attention: Keith Hardwick, E-mail: keith.hardwick@advantest.com.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PDF SOLUTIONS, INC.</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Adnan Raza</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Name:Adnan Raza</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Title:Chief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2"/>
        <w:gridCol w:w="61"/>
        <w:gridCol w:w="3619"/>
      </w:tblGrid>
      <w:tr>
        <w:trPr/>
        <w:tc>
          <w:tcPr>
            <w:tcW w:w="40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1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SELLING SHAREHOLDER,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Advantest America, Inc.</w:t>
            </w:r>
          </w:p>
        </w:tc>
      </w:tr>
      <w:tr>
        <w:trPr>
          <w:trHeight w:val="240" w:hRule="atLeast"/>
        </w:trPr>
        <w:tc>
          <w:tcPr>
            <w:tcW w:w="402" w:type="dxa"/>
            <w:tcBorders/>
            <w:vAlign w:val="center"/>
          </w:tcPr>
          <w:p>
            <w:pPr>
              <w:pStyle w:val="TableContents"/>
              <w:bidi w:val="0"/>
              <w:spacing w:before="0" w:after="283"/>
              <w:jc w:val="left"/>
              <w:rPr>
                <w:sz w:val="4"/>
                <w:szCs w:val="4"/>
              </w:rPr>
            </w:pPr>
            <w:r>
              <w:rPr>
                <w:sz w:val="4"/>
                <w:szCs w:val="4"/>
              </w:rPr>
            </w:r>
          </w:p>
        </w:tc>
        <w:tc>
          <w:tcPr>
            <w:tcW w:w="3680" w:type="dxa"/>
            <w:gridSpan w:val="2"/>
            <w:tcBorders/>
            <w:vAlign w:val="center"/>
          </w:tcPr>
          <w:p>
            <w:pPr>
              <w:pStyle w:val="TableContents"/>
              <w:bidi w:val="0"/>
              <w:spacing w:before="0" w:after="283"/>
              <w:jc w:val="left"/>
              <w:rPr>
                <w:sz w:val="4"/>
                <w:szCs w:val="4"/>
              </w:rPr>
            </w:pPr>
            <w:r>
              <w:rPr>
                <w:sz w:val="4"/>
                <w:szCs w:val="4"/>
              </w:rPr>
            </w:r>
          </w:p>
        </w:tc>
      </w:tr>
      <w:tr>
        <w:trPr/>
        <w:tc>
          <w:tcPr>
            <w:tcW w:w="40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1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Keith Hardwick</w:t>
            </w:r>
          </w:p>
        </w:tc>
      </w:tr>
      <w:tr>
        <w:trPr/>
        <w:tc>
          <w:tcPr>
            <w:tcW w:w="40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9" w:type="dxa"/>
            <w:tcBorders/>
          </w:tcPr>
          <w:p>
            <w:pPr>
              <w:pStyle w:val="TableContents"/>
              <w:bidi w:val="0"/>
              <w:spacing w:before="0" w:after="283"/>
              <w:jc w:val="left"/>
              <w:rPr/>
            </w:pPr>
            <w:r>
              <w:rPr/>
              <w:t>Name:Keith Hardwick</w:t>
            </w:r>
          </w:p>
        </w:tc>
      </w:tr>
      <w:tr>
        <w:trPr/>
        <w:tc>
          <w:tcPr>
            <w:tcW w:w="40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9" w:type="dxa"/>
            <w:tcBorders/>
          </w:tcPr>
          <w:p>
            <w:pPr>
              <w:pStyle w:val="TableContents"/>
              <w:bidi w:val="0"/>
              <w:spacing w:before="0" w:after="283"/>
              <w:jc w:val="left"/>
              <w:rPr/>
            </w:pPr>
            <w:r>
              <w:rPr/>
              <w:t>Title:Chief Executive Officer</w:t>
            </w:r>
          </w:p>
        </w:tc>
      </w:tr>
    </w:tbl>
    <w:p>
      <w:pPr>
        <w:pStyle w:val="HorizontalLine"/>
        <w:pBdr>
          <w:bottom w:val="double" w:sz="6" w:space="0" w:color="808080"/>
        </w:pBdr>
        <w:bidi w:val="0"/>
        <w:jc w:val="left"/>
        <w:rPr/>
      </w:pPr>
      <w:r>
        <w:br w:type="page"/>
      </w:r>
      <w:r>
        <w:rPr/>
      </w:r>
    </w:p>
    <w:tbl>
      <w:tblPr>
        <w:tblW w:w="2000" w:type="pct"/>
        <w:jc w:val="lef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Accepted as of the date hereof</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Morgan Stanley &amp; Co. LLC</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Acting on behalf of itself and the several Underwriters named in Schedule II hereto</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Morgan Stanley &amp; Co. LLC</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Diana Doyle</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Name:Diana Doyle</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Title:Managing Director</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54"/>
        <w:gridCol w:w="717"/>
        <w:gridCol w:w="141"/>
        <w:gridCol w:w="2330"/>
        <w:gridCol w:w="63"/>
      </w:tblGrid>
      <w:tr>
        <w:trPr/>
        <w:tc>
          <w:tcPr>
            <w:tcW w:w="6954" w:type="dxa"/>
            <w:tcBorders/>
            <w:vAlign w:val="center"/>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95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Selling Shareholder</w:t>
            </w:r>
          </w:p>
        </w:tc>
        <w:tc>
          <w:tcPr>
            <w:tcW w:w="717" w:type="dxa"/>
            <w:tcBorders/>
            <w:vAlign w:val="bottom"/>
          </w:tcPr>
          <w:p>
            <w:pPr>
              <w:pStyle w:val="TableContents"/>
              <w:bidi w:val="0"/>
              <w:spacing w:before="0" w:after="283"/>
              <w:jc w:val="left"/>
              <w:rPr/>
            </w:pPr>
            <w:r>
              <w:rPr/>
              <w:t>  </w:t>
            </w:r>
          </w:p>
        </w:tc>
        <w:tc>
          <w:tcPr>
            <w:tcW w:w="24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Firm Shares</w:t>
              <w:br/>
              <w:t>To Be Sold</w:t>
            </w:r>
          </w:p>
        </w:tc>
        <w:tc>
          <w:tcPr>
            <w:tcW w:w="63" w:type="dxa"/>
            <w:tcBorders/>
            <w:vAlign w:val="bottom"/>
          </w:tcPr>
          <w:p>
            <w:pPr>
              <w:pStyle w:val="TableContents"/>
              <w:bidi w:val="0"/>
              <w:spacing w:before="0" w:after="283"/>
              <w:jc w:val="left"/>
              <w:rPr/>
            </w:pPr>
            <w:r>
              <w:rPr/>
              <w:t> </w:t>
            </w:r>
          </w:p>
        </w:tc>
      </w:tr>
      <w:tr>
        <w:trPr/>
        <w:tc>
          <w:tcPr>
            <w:tcW w:w="69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Advantest America, Inc.</w:t>
            </w:r>
          </w:p>
        </w:tc>
        <w:tc>
          <w:tcPr>
            <w:tcW w:w="71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2330" w:type="dxa"/>
            <w:tcBorders/>
            <w:shd w:fill="CCEEFF" w:val="clear"/>
            <w:vAlign w:val="bottom"/>
          </w:tcPr>
          <w:p>
            <w:pPr>
              <w:pStyle w:val="TableContents"/>
              <w:bidi w:val="0"/>
              <w:spacing w:before="0" w:after="283"/>
              <w:jc w:val="right"/>
              <w:rPr/>
            </w:pPr>
            <w:r>
              <w:rPr/>
              <w:t>3,306,924</w:t>
            </w:r>
          </w:p>
        </w:tc>
        <w:tc>
          <w:tcPr>
            <w:tcW w:w="63" w:type="dxa"/>
            <w:tcBorders/>
            <w:shd w:fill="CCEEFF" w:val="clear"/>
            <w:vAlign w:val="bottom"/>
          </w:tcPr>
          <w:p>
            <w:pPr>
              <w:pStyle w:val="TableContents"/>
              <w:bidi w:val="0"/>
              <w:spacing w:before="0" w:after="283"/>
              <w:jc w:val="left"/>
              <w:rPr/>
            </w:pPr>
            <w:r>
              <w:rPr/>
              <w:t> </w:t>
            </w:r>
          </w:p>
        </w:tc>
      </w:tr>
      <w:tr>
        <w:trPr/>
        <w:tc>
          <w:tcPr>
            <w:tcW w:w="6954"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233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rHeight w:val="480" w:hRule="atLeast"/>
        </w:trPr>
        <w:tc>
          <w:tcPr>
            <w:tcW w:w="6954" w:type="dxa"/>
            <w:tcBorders/>
            <w:vAlign w:val="center"/>
          </w:tcPr>
          <w:p>
            <w:pPr>
              <w:pStyle w:val="TableContents"/>
              <w:bidi w:val="0"/>
              <w:spacing w:before="0" w:after="283"/>
              <w:jc w:val="left"/>
              <w:rPr>
                <w:sz w:val="4"/>
                <w:szCs w:val="4"/>
              </w:rPr>
            </w:pPr>
            <w:r>
              <w:rPr>
                <w:sz w:val="4"/>
                <w:szCs w:val="4"/>
              </w:rPr>
            </w:r>
          </w:p>
        </w:tc>
        <w:tc>
          <w:tcPr>
            <w:tcW w:w="3251" w:type="dxa"/>
            <w:gridSpan w:val="4"/>
            <w:tcBorders/>
            <w:vAlign w:val="center"/>
          </w:tcPr>
          <w:p>
            <w:pPr>
              <w:pStyle w:val="TableContents"/>
              <w:bidi w:val="0"/>
              <w:spacing w:before="0" w:after="283"/>
              <w:jc w:val="left"/>
              <w:rPr>
                <w:sz w:val="4"/>
                <w:szCs w:val="4"/>
              </w:rPr>
            </w:pPr>
            <w:r>
              <w:rPr>
                <w:sz w:val="4"/>
                <w:szCs w:val="4"/>
              </w:rPr>
            </w:r>
          </w:p>
        </w:tc>
      </w:tr>
      <w:tr>
        <w:trPr/>
        <w:tc>
          <w:tcPr>
            <w:tcW w:w="6954"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71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2330" w:type="dxa"/>
            <w:tcBorders/>
            <w:vAlign w:val="bottom"/>
          </w:tcPr>
          <w:p>
            <w:pPr>
              <w:pStyle w:val="TableContents"/>
              <w:bidi w:val="0"/>
              <w:spacing w:before="0" w:after="283"/>
              <w:jc w:val="right"/>
              <w:rPr/>
            </w:pPr>
            <w:r>
              <w:rPr/>
              <w:t>3,306,924</w:t>
            </w:r>
          </w:p>
        </w:tc>
        <w:tc>
          <w:tcPr>
            <w:tcW w:w="63" w:type="dxa"/>
            <w:tcBorders/>
            <w:vAlign w:val="bottom"/>
          </w:tcPr>
          <w:p>
            <w:pPr>
              <w:pStyle w:val="TableContents"/>
              <w:bidi w:val="0"/>
              <w:spacing w:before="0" w:after="283"/>
              <w:jc w:val="left"/>
              <w:rPr/>
            </w:pPr>
            <w:r>
              <w:rPr/>
              <w:t> </w:t>
            </w:r>
          </w:p>
        </w:tc>
      </w:tr>
      <w:tr>
        <w:trPr/>
        <w:tc>
          <w:tcPr>
            <w:tcW w:w="6954"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233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II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55"/>
        <w:gridCol w:w="388"/>
        <w:gridCol w:w="98"/>
        <w:gridCol w:w="1602"/>
        <w:gridCol w:w="62"/>
      </w:tblGrid>
      <w:tr>
        <w:trPr/>
        <w:tc>
          <w:tcPr>
            <w:tcW w:w="8055" w:type="dxa"/>
            <w:tcBorders/>
            <w:vAlign w:val="center"/>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05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388" w:type="dxa"/>
            <w:tcBorders/>
            <w:vAlign w:val="bottom"/>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Firm</w:t>
              <w:br/>
              <w:t>Shares To Be</w:t>
              <w:br/>
              <w:t>Purchased</w:t>
            </w:r>
          </w:p>
        </w:tc>
        <w:tc>
          <w:tcPr>
            <w:tcW w:w="62" w:type="dxa"/>
            <w:tcBorders/>
            <w:vAlign w:val="bottom"/>
          </w:tcPr>
          <w:p>
            <w:pPr>
              <w:pStyle w:val="TableContents"/>
              <w:bidi w:val="0"/>
              <w:spacing w:before="0" w:after="283"/>
              <w:jc w:val="left"/>
              <w:rPr/>
            </w:pPr>
            <w:r>
              <w:rPr/>
              <w:t> </w:t>
            </w:r>
          </w:p>
        </w:tc>
      </w:tr>
      <w:tr>
        <w:trPr/>
        <w:tc>
          <w:tcPr>
            <w:tcW w:w="80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388"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602" w:type="dxa"/>
            <w:tcBorders/>
            <w:shd w:fill="CCEEFF" w:val="clear"/>
            <w:vAlign w:val="bottom"/>
          </w:tcPr>
          <w:p>
            <w:pPr>
              <w:pStyle w:val="TableContents"/>
              <w:bidi w:val="0"/>
              <w:spacing w:before="0" w:after="283"/>
              <w:jc w:val="right"/>
              <w:rPr/>
            </w:pPr>
            <w:r>
              <w:rPr/>
              <w:t>2,055,740</w:t>
            </w:r>
          </w:p>
        </w:tc>
        <w:tc>
          <w:tcPr>
            <w:tcW w:w="62" w:type="dxa"/>
            <w:tcBorders/>
            <w:shd w:fill="CCEEFF" w:val="clear"/>
            <w:vAlign w:val="bottom"/>
          </w:tcPr>
          <w:p>
            <w:pPr>
              <w:pStyle w:val="TableContents"/>
              <w:bidi w:val="0"/>
              <w:spacing w:before="0" w:after="283"/>
              <w:jc w:val="left"/>
              <w:rPr/>
            </w:pPr>
            <w:r>
              <w:rPr/>
              <w:t> </w:t>
            </w:r>
          </w:p>
        </w:tc>
      </w:tr>
      <w:tr>
        <w:trPr/>
        <w:tc>
          <w:tcPr>
            <w:tcW w:w="8055" w:type="dxa"/>
            <w:tcBorders/>
          </w:tcPr>
          <w:p>
            <w:pPr>
              <w:pStyle w:val="TableContents"/>
              <w:bidi w:val="0"/>
              <w:spacing w:before="0" w:after="0"/>
              <w:jc w:val="left"/>
              <w:rPr>
                <w:rFonts w:ascii="Times New Roman" w:hAnsi="Times New Roman"/>
                <w:sz w:val="20"/>
              </w:rPr>
            </w:pPr>
            <w:r>
              <w:rPr>
                <w:rFonts w:ascii="Times New Roman" w:hAnsi="Times New Roman"/>
                <w:sz w:val="20"/>
              </w:rPr>
              <w:t>Wells Fargo Securities, LLC</w:t>
            </w:r>
          </w:p>
        </w:tc>
        <w:tc>
          <w:tcPr>
            <w:tcW w:w="388"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02" w:type="dxa"/>
            <w:tcBorders/>
            <w:vAlign w:val="bottom"/>
          </w:tcPr>
          <w:p>
            <w:pPr>
              <w:pStyle w:val="TableContents"/>
              <w:bidi w:val="0"/>
              <w:spacing w:before="0" w:after="283"/>
              <w:jc w:val="right"/>
              <w:rPr/>
            </w:pPr>
            <w:r>
              <w:rPr/>
              <w:t>730,929</w:t>
            </w:r>
          </w:p>
        </w:tc>
        <w:tc>
          <w:tcPr>
            <w:tcW w:w="62" w:type="dxa"/>
            <w:tcBorders/>
            <w:vAlign w:val="bottom"/>
          </w:tcPr>
          <w:p>
            <w:pPr>
              <w:pStyle w:val="TableContents"/>
              <w:bidi w:val="0"/>
              <w:spacing w:before="0" w:after="283"/>
              <w:jc w:val="left"/>
              <w:rPr/>
            </w:pPr>
            <w:r>
              <w:rPr/>
              <w:t> </w:t>
            </w:r>
          </w:p>
        </w:tc>
      </w:tr>
      <w:tr>
        <w:trPr/>
        <w:tc>
          <w:tcPr>
            <w:tcW w:w="80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SG Americas Securities, LLC</w:t>
            </w:r>
          </w:p>
        </w:tc>
        <w:tc>
          <w:tcPr>
            <w:tcW w:w="388"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602" w:type="dxa"/>
            <w:tcBorders/>
            <w:shd w:fill="CCEEFF" w:val="clear"/>
            <w:vAlign w:val="bottom"/>
          </w:tcPr>
          <w:p>
            <w:pPr>
              <w:pStyle w:val="TableContents"/>
              <w:bidi w:val="0"/>
              <w:spacing w:before="0" w:after="283"/>
              <w:jc w:val="right"/>
              <w:rPr/>
            </w:pPr>
            <w:r>
              <w:rPr/>
              <w:t>593,880</w:t>
            </w:r>
          </w:p>
        </w:tc>
        <w:tc>
          <w:tcPr>
            <w:tcW w:w="62" w:type="dxa"/>
            <w:tcBorders/>
            <w:shd w:fill="CCEEFF" w:val="clear"/>
            <w:vAlign w:val="bottom"/>
          </w:tcPr>
          <w:p>
            <w:pPr>
              <w:pStyle w:val="TableContents"/>
              <w:bidi w:val="0"/>
              <w:spacing w:before="0" w:after="283"/>
              <w:jc w:val="left"/>
              <w:rPr/>
            </w:pPr>
            <w:r>
              <w:rPr/>
              <w:t> </w:t>
            </w:r>
          </w:p>
        </w:tc>
      </w:tr>
      <w:tr>
        <w:trPr/>
        <w:tc>
          <w:tcPr>
            <w:tcW w:w="8055" w:type="dxa"/>
            <w:tcBorders/>
          </w:tcPr>
          <w:p>
            <w:pPr>
              <w:pStyle w:val="TableContents"/>
              <w:bidi w:val="0"/>
              <w:spacing w:before="0" w:after="0"/>
              <w:jc w:val="left"/>
              <w:rPr>
                <w:rFonts w:ascii="Times New Roman" w:hAnsi="Times New Roman"/>
                <w:sz w:val="20"/>
              </w:rPr>
            </w:pPr>
            <w:r>
              <w:rPr>
                <w:rFonts w:ascii="Times New Roman" w:hAnsi="Times New Roman"/>
                <w:sz w:val="20"/>
              </w:rPr>
              <w:t>Needham &amp; Company, LLC</w:t>
            </w:r>
          </w:p>
        </w:tc>
        <w:tc>
          <w:tcPr>
            <w:tcW w:w="388"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02" w:type="dxa"/>
            <w:tcBorders/>
            <w:vAlign w:val="bottom"/>
          </w:tcPr>
          <w:p>
            <w:pPr>
              <w:pStyle w:val="TableContents"/>
              <w:bidi w:val="0"/>
              <w:spacing w:before="0" w:after="283"/>
              <w:jc w:val="right"/>
              <w:rPr/>
            </w:pPr>
            <w:r>
              <w:rPr/>
              <w:t>502,514</w:t>
            </w:r>
          </w:p>
        </w:tc>
        <w:tc>
          <w:tcPr>
            <w:tcW w:w="62" w:type="dxa"/>
            <w:tcBorders/>
            <w:vAlign w:val="bottom"/>
          </w:tcPr>
          <w:p>
            <w:pPr>
              <w:pStyle w:val="TableContents"/>
              <w:bidi w:val="0"/>
              <w:spacing w:before="0" w:after="283"/>
              <w:jc w:val="left"/>
              <w:rPr/>
            </w:pPr>
            <w:r>
              <w:rPr/>
              <w:t> </w:t>
            </w:r>
          </w:p>
        </w:tc>
      </w:tr>
      <w:tr>
        <w:trPr/>
        <w:tc>
          <w:tcPr>
            <w:tcW w:w="80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Rosenblatt Securities Inc.</w:t>
            </w:r>
          </w:p>
        </w:tc>
        <w:tc>
          <w:tcPr>
            <w:tcW w:w="388"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602" w:type="dxa"/>
            <w:tcBorders/>
            <w:shd w:fill="CCEEFF" w:val="clear"/>
            <w:vAlign w:val="bottom"/>
          </w:tcPr>
          <w:p>
            <w:pPr>
              <w:pStyle w:val="TableContents"/>
              <w:bidi w:val="0"/>
              <w:spacing w:before="0" w:after="283"/>
              <w:jc w:val="right"/>
              <w:rPr/>
            </w:pPr>
            <w:r>
              <w:rPr/>
              <w:t>228,415</w:t>
            </w:r>
          </w:p>
        </w:tc>
        <w:tc>
          <w:tcPr>
            <w:tcW w:w="62" w:type="dxa"/>
            <w:tcBorders/>
            <w:shd w:fill="CCEEFF" w:val="clear"/>
            <w:vAlign w:val="bottom"/>
          </w:tcPr>
          <w:p>
            <w:pPr>
              <w:pStyle w:val="TableContents"/>
              <w:bidi w:val="0"/>
              <w:spacing w:before="0" w:after="283"/>
              <w:jc w:val="left"/>
              <w:rPr/>
            </w:pPr>
            <w:r>
              <w:rPr/>
              <w:t> </w:t>
            </w:r>
          </w:p>
        </w:tc>
      </w:tr>
      <w:tr>
        <w:trPr/>
        <w:tc>
          <w:tcPr>
            <w:tcW w:w="8055" w:type="dxa"/>
            <w:tcBorders/>
          </w:tcPr>
          <w:p>
            <w:pPr>
              <w:pStyle w:val="TableContents"/>
              <w:bidi w:val="0"/>
              <w:spacing w:before="0" w:after="0"/>
              <w:jc w:val="left"/>
              <w:rPr>
                <w:rFonts w:ascii="Times New Roman" w:hAnsi="Times New Roman"/>
                <w:sz w:val="20"/>
              </w:rPr>
            </w:pPr>
            <w:r>
              <w:rPr>
                <w:rFonts w:ascii="Times New Roman" w:hAnsi="Times New Roman"/>
                <w:sz w:val="20"/>
              </w:rPr>
              <w:t>D.A. Davidson &amp; Co.</w:t>
            </w:r>
          </w:p>
        </w:tc>
        <w:tc>
          <w:tcPr>
            <w:tcW w:w="388"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02" w:type="dxa"/>
            <w:tcBorders/>
            <w:vAlign w:val="bottom"/>
          </w:tcPr>
          <w:p>
            <w:pPr>
              <w:pStyle w:val="TableContents"/>
              <w:bidi w:val="0"/>
              <w:spacing w:before="0" w:after="283"/>
              <w:jc w:val="right"/>
              <w:rPr/>
            </w:pPr>
            <w:r>
              <w:rPr/>
              <w:t>228,415</w:t>
            </w:r>
          </w:p>
        </w:tc>
        <w:tc>
          <w:tcPr>
            <w:tcW w:w="62" w:type="dxa"/>
            <w:tcBorders/>
            <w:vAlign w:val="bottom"/>
          </w:tcPr>
          <w:p>
            <w:pPr>
              <w:pStyle w:val="TableContents"/>
              <w:bidi w:val="0"/>
              <w:spacing w:before="0" w:after="283"/>
              <w:jc w:val="left"/>
              <w:rPr/>
            </w:pPr>
            <w:r>
              <w:rPr/>
              <w:t> </w:t>
            </w:r>
          </w:p>
        </w:tc>
      </w:tr>
      <w:tr>
        <w:trPr/>
        <w:tc>
          <w:tcPr>
            <w:tcW w:w="80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Northland Securities, Inc</w:t>
            </w:r>
          </w:p>
        </w:tc>
        <w:tc>
          <w:tcPr>
            <w:tcW w:w="388"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602" w:type="dxa"/>
            <w:tcBorders/>
            <w:shd w:fill="CCEEFF" w:val="clear"/>
            <w:vAlign w:val="bottom"/>
          </w:tcPr>
          <w:p>
            <w:pPr>
              <w:pStyle w:val="TableContents"/>
              <w:bidi w:val="0"/>
              <w:spacing w:before="0" w:after="283"/>
              <w:jc w:val="right"/>
              <w:rPr/>
            </w:pPr>
            <w:r>
              <w:rPr/>
              <w:t>228,415</w:t>
            </w:r>
          </w:p>
        </w:tc>
        <w:tc>
          <w:tcPr>
            <w:tcW w:w="62" w:type="dxa"/>
            <w:tcBorders/>
            <w:shd w:fill="CCEEFF" w:val="clear"/>
            <w:vAlign w:val="bottom"/>
          </w:tcPr>
          <w:p>
            <w:pPr>
              <w:pStyle w:val="TableContents"/>
              <w:bidi w:val="0"/>
              <w:spacing w:before="0" w:after="283"/>
              <w:jc w:val="left"/>
              <w:rPr/>
            </w:pPr>
            <w:r>
              <w:rPr/>
              <w:t> </w:t>
            </w:r>
          </w:p>
        </w:tc>
      </w:tr>
      <w:tr>
        <w:trPr/>
        <w:tc>
          <w:tcPr>
            <w:tcW w:w="8055"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602"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8055"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88"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02" w:type="dxa"/>
            <w:tcBorders/>
            <w:vAlign w:val="bottom"/>
          </w:tcPr>
          <w:p>
            <w:pPr>
              <w:pStyle w:val="TableContents"/>
              <w:bidi w:val="0"/>
              <w:spacing w:before="0" w:after="283"/>
              <w:jc w:val="right"/>
              <w:rPr/>
            </w:pPr>
            <w:r>
              <w:rPr/>
              <w:t>4,568,308</w:t>
            </w:r>
          </w:p>
        </w:tc>
        <w:tc>
          <w:tcPr>
            <w:tcW w:w="62" w:type="dxa"/>
            <w:tcBorders/>
            <w:vAlign w:val="bottom"/>
          </w:tcPr>
          <w:p>
            <w:pPr>
              <w:pStyle w:val="TableContents"/>
              <w:bidi w:val="0"/>
              <w:spacing w:before="0" w:after="283"/>
              <w:jc w:val="left"/>
              <w:rPr/>
            </w:pPr>
            <w:r>
              <w:rPr/>
              <w:t> </w:t>
            </w:r>
          </w:p>
        </w:tc>
      </w:tr>
      <w:tr>
        <w:trPr/>
        <w:tc>
          <w:tcPr>
            <w:tcW w:w="8055"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double" w:sz="6" w:space="1" w:color="000000"/>
              </w:pBdr>
              <w:bidi w:val="0"/>
              <w:spacing w:before="0" w:after="0"/>
              <w:jc w:val="left"/>
              <w:rPr/>
            </w:pPr>
            <w:r>
              <w:rPr/>
              <w:t> </w:t>
            </w:r>
          </w:p>
        </w:tc>
        <w:tc>
          <w:tcPr>
            <w:tcW w:w="1602"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III </w:t>
      </w:r>
    </w:p>
    <w:p>
      <w:pPr>
        <w:pStyle w:val="TextBody"/>
        <w:bidi w:val="0"/>
        <w:spacing w:before="480" w:after="0"/>
        <w:jc w:val="center"/>
        <w:rPr>
          <w:rFonts w:ascii="Times New Roman" w:hAnsi="Times New Roman"/>
          <w:b/>
          <w:sz w:val="20"/>
        </w:rPr>
      </w:pPr>
      <w:r>
        <w:rPr>
          <w:rFonts w:ascii="Times New Roman" w:hAnsi="Times New Roman"/>
          <w:b/>
          <w:sz w:val="20"/>
        </w:rPr>
        <w:t xml:space="preserve">Time of Sale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Prospectus issued May 13,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Pricing Information: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Public Offering Price: $44.00 per share </w:t>
      </w:r>
    </w:p>
    <w:p>
      <w:pPr>
        <w:pStyle w:val="TextBody"/>
        <w:bidi w:val="0"/>
        <w:spacing w:before="240" w:after="0"/>
        <w:jc w:val="left"/>
        <w:rPr>
          <w:rFonts w:ascii="Times New Roman" w:hAnsi="Times New Roman"/>
          <w:sz w:val="20"/>
        </w:rPr>
      </w:pPr>
      <w:r>
        <w:rPr>
          <w:rFonts w:ascii="Times New Roman" w:hAnsi="Times New Roman"/>
          <w:sz w:val="20"/>
        </w:rPr>
        <w:t xml:space="preserve">Firm Shares to be sold by the Company: 1,261,384 </w:t>
      </w:r>
    </w:p>
    <w:p>
      <w:pPr>
        <w:pStyle w:val="TextBody"/>
        <w:bidi w:val="0"/>
        <w:spacing w:before="240" w:after="0"/>
        <w:jc w:val="left"/>
        <w:rPr>
          <w:rFonts w:ascii="Times New Roman" w:hAnsi="Times New Roman"/>
          <w:sz w:val="20"/>
        </w:rPr>
      </w:pPr>
      <w:r>
        <w:rPr>
          <w:rFonts w:ascii="Times New Roman" w:hAnsi="Times New Roman"/>
          <w:sz w:val="20"/>
        </w:rPr>
        <w:t xml:space="preserve">Firm Shares to be sold by the Selling Shareholder: 3,306,924 </w:t>
      </w:r>
    </w:p>
    <w:p>
      <w:pPr>
        <w:pStyle w:val="TextBody"/>
        <w:bidi w:val="0"/>
        <w:spacing w:before="240" w:after="0"/>
        <w:jc w:val="left"/>
        <w:rPr>
          <w:rFonts w:ascii="Times New Roman" w:hAnsi="Times New Roman"/>
          <w:sz w:val="20"/>
        </w:rPr>
      </w:pPr>
      <w:r>
        <w:rPr>
          <w:rFonts w:ascii="Times New Roman" w:hAnsi="Times New Roman"/>
          <w:sz w:val="20"/>
        </w:rPr>
        <w:t xml:space="preserve">Additional Shares to be sold by the Company: 685,246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IV </w:t>
      </w:r>
    </w:p>
    <w:p>
      <w:pPr>
        <w:pStyle w:val="TextBody"/>
        <w:bidi w:val="0"/>
        <w:spacing w:before="480" w:after="0"/>
        <w:jc w:val="center"/>
        <w:rPr>
          <w:rFonts w:ascii="Times New Roman" w:hAnsi="Times New Roman"/>
          <w:b/>
          <w:sz w:val="20"/>
        </w:rPr>
      </w:pPr>
      <w:r>
        <w:rPr>
          <w:rFonts w:ascii="Times New Roman" w:hAnsi="Times New Roman"/>
          <w:b/>
          <w:sz w:val="20"/>
        </w:rPr>
        <w:t xml:space="preserve">Testing-the-Waters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Company’s investor presentation, dated as of May 12, 2026.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 </w:t>
      </w:r>
    </w:p>
    <w:p>
      <w:pPr>
        <w:pStyle w:val="TextBody"/>
        <w:bidi w:val="0"/>
        <w:spacing w:before="480" w:after="0"/>
        <w:jc w:val="center"/>
        <w:rPr>
          <w:rFonts w:ascii="Times New Roman" w:hAnsi="Times New Roman"/>
          <w:b/>
          <w:sz w:val="20"/>
        </w:rPr>
      </w:pPr>
      <w:r>
        <w:rPr>
          <w:rFonts w:ascii="Times New Roman" w:hAnsi="Times New Roman"/>
          <w:b/>
          <w:sz w:val="20"/>
        </w:rPr>
        <w:t xml:space="preserve">FORM OF LOCK-UP AGREEMENT </w:t>
      </w:r>
    </w:p>
    <w:p>
      <w:pPr>
        <w:pStyle w:val="TextBody"/>
        <w:bidi w:val="0"/>
        <w:spacing w:before="240" w:after="0"/>
        <w:jc w:val="center"/>
        <w:rPr>
          <w:rFonts w:ascii="Times New Roman" w:hAnsi="Times New Roman"/>
          <w:sz w:val="20"/>
        </w:rPr>
      </w:pPr>
      <w:r>
        <w:rPr>
          <w:rFonts w:ascii="Times New Roman" w:hAnsi="Times New Roman"/>
          <w:sz w:val="20"/>
        </w:rPr>
        <w:t xml:space="preserve">May , 2026 </w:t>
      </w:r>
    </w:p>
    <w:p>
      <w:pPr>
        <w:pStyle w:val="TextBody"/>
        <w:bidi w:val="0"/>
        <w:spacing w:before="240" w:after="0"/>
        <w:jc w:val="left"/>
        <w:rPr>
          <w:rFonts w:ascii="Times New Roman" w:hAnsi="Times New Roman"/>
          <w:sz w:val="20"/>
        </w:rPr>
      </w:pPr>
      <w:r>
        <w:rPr>
          <w:rFonts w:ascii="Times New Roman" w:hAnsi="Times New Roman"/>
          <w:sz w:val="20"/>
        </w:rPr>
        <w:t xml:space="preserve">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As representatives of the several Underwriters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c/o</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Morgan Stanley &amp; Co. LLC </w:t>
            </w:r>
          </w:p>
        </w:tc>
      </w:tr>
    </w:tbl>
    <w:p>
      <w:pPr>
        <w:pStyle w:val="TextBody"/>
        <w:bidi w:val="0"/>
        <w:spacing w:before="0" w:after="0"/>
        <w:jc w:val="left"/>
        <w:rPr>
          <w:rFonts w:ascii="Times New Roman" w:hAnsi="Times New Roman"/>
          <w:sz w:val="20"/>
        </w:rPr>
      </w:pPr>
      <w:r>
        <w:rPr>
          <w:rFonts w:ascii="Times New Roman" w:hAnsi="Times New Roman"/>
          <w:sz w:val="20"/>
        </w:rPr>
        <w:t xml:space="preserve">1585 Broadway </w:t>
      </w:r>
    </w:p>
    <w:p>
      <w:pPr>
        <w:pStyle w:val="TextBody"/>
        <w:bidi w:val="0"/>
        <w:spacing w:before="0" w:after="0"/>
        <w:jc w:val="left"/>
        <w:rPr>
          <w:rFonts w:ascii="Times New Roman" w:hAnsi="Times New Roman"/>
          <w:sz w:val="20"/>
        </w:rPr>
      </w:pPr>
      <w:r>
        <w:rPr>
          <w:rFonts w:ascii="Times New Roman" w:hAnsi="Times New Roman"/>
          <w:sz w:val="20"/>
        </w:rPr>
        <w:t xml:space="preserve">New York, NY 10036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The undersigned understands that Morgan Stanley &amp; Co. LLC (“</w:t>
      </w:r>
      <w:r>
        <w:rPr>
          <w:rFonts w:ascii="Times New Roman" w:hAnsi="Times New Roman"/>
          <w:b/>
          <w:sz w:val="20"/>
        </w:rPr>
        <w:t>Morgan Stanley</w:t>
      </w:r>
      <w:r>
        <w:rPr>
          <w:rFonts w:ascii="Times New Roman" w:hAnsi="Times New Roman"/>
          <w:sz w:val="20"/>
        </w:rPr>
        <w:t>”) proposes to enter into an Underwriting Agreement (the “</w:t>
      </w:r>
      <w:r>
        <w:rPr>
          <w:rFonts w:ascii="Times New Roman" w:hAnsi="Times New Roman"/>
          <w:b/>
          <w:sz w:val="20"/>
        </w:rPr>
        <w:t>Underwriting Agreement</w:t>
      </w:r>
      <w:r>
        <w:rPr>
          <w:rFonts w:ascii="Times New Roman" w:hAnsi="Times New Roman"/>
          <w:sz w:val="20"/>
        </w:rPr>
        <w:t>”) with PDF Solutions, Inc., a Delaware corporation (the “</w:t>
      </w:r>
      <w:r>
        <w:rPr>
          <w:rFonts w:ascii="Times New Roman" w:hAnsi="Times New Roman"/>
          <w:b/>
          <w:sz w:val="20"/>
        </w:rPr>
        <w:t>Company</w:t>
      </w:r>
      <w:r>
        <w:rPr>
          <w:rFonts w:ascii="Times New Roman" w:hAnsi="Times New Roman"/>
          <w:sz w:val="20"/>
        </w:rPr>
        <w:t>”) and the selling stockholder named therein, providing for the public offering (the “</w:t>
      </w:r>
      <w:r>
        <w:rPr>
          <w:rFonts w:ascii="Times New Roman" w:hAnsi="Times New Roman"/>
          <w:b/>
          <w:sz w:val="20"/>
        </w:rPr>
        <w:t>Public Offering</w:t>
      </w:r>
      <w:r>
        <w:rPr>
          <w:rFonts w:ascii="Times New Roman" w:hAnsi="Times New Roman"/>
          <w:sz w:val="20"/>
        </w:rPr>
        <w:t>”) by the several Underwriters named therein, including Morgan Stanley (the “</w:t>
      </w:r>
      <w:r>
        <w:rPr>
          <w:rFonts w:ascii="Times New Roman" w:hAnsi="Times New Roman"/>
          <w:b/>
          <w:sz w:val="20"/>
        </w:rPr>
        <w:t>Underwriters</w:t>
      </w:r>
      <w:r>
        <w:rPr>
          <w:rFonts w:ascii="Times New Roman" w:hAnsi="Times New Roman"/>
          <w:sz w:val="20"/>
        </w:rPr>
        <w:t>”), of shares (the “</w:t>
      </w:r>
      <w:r>
        <w:rPr>
          <w:rFonts w:ascii="Times New Roman" w:hAnsi="Times New Roman"/>
          <w:b/>
          <w:sz w:val="20"/>
        </w:rPr>
        <w:t>Shares</w:t>
      </w:r>
      <w:r>
        <w:rPr>
          <w:rFonts w:ascii="Times New Roman" w:hAnsi="Times New Roman"/>
          <w:sz w:val="20"/>
        </w:rPr>
        <w:t>”) of the common stock, par value $0.00015 per share, of the Company (the “</w:t>
      </w:r>
      <w:r>
        <w:rPr>
          <w:rFonts w:ascii="Times New Roman" w:hAnsi="Times New Roman"/>
          <w:b/>
          <w:sz w:val="20"/>
        </w:rPr>
        <w:t>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To induce the Underwriters that may participate in the Public Offering to continue their efforts in connection with the Public Offering, the undersigned hereby agrees that, without the prior written consent of Morgan Stanley on behalf of the Underwriters, it will not, and will not publicly disclose an intention to, during the period commencing on the date hereof and ending immediately after the close of the Trading Day occurring on the 60th day after the date of the final prospectus (the “</w:t>
      </w:r>
      <w:r>
        <w:rPr>
          <w:rFonts w:ascii="Times New Roman" w:hAnsi="Times New Roman"/>
          <w:b/>
          <w:sz w:val="20"/>
        </w:rPr>
        <w:t>Prospectus</w:t>
      </w:r>
      <w:r>
        <w:rPr>
          <w:rFonts w:ascii="Times New Roman" w:hAnsi="Times New Roman"/>
          <w:sz w:val="20"/>
        </w:rPr>
        <w:t>”) relating to the Public Offering (the “</w:t>
      </w:r>
      <w:r>
        <w:rPr>
          <w:rFonts w:ascii="Times New Roman" w:hAnsi="Times New Roman"/>
          <w:b/>
          <w:sz w:val="20"/>
        </w:rPr>
        <w:t>60th</w:t>
      </w:r>
      <w:r>
        <w:rPr>
          <w:rFonts w:ascii="Times New Roman" w:hAnsi="Times New Roman"/>
          <w:sz w:val="20"/>
        </w:rPr>
        <w:t xml:space="preserve"> </w:t>
      </w:r>
      <w:r>
        <w:rPr>
          <w:rFonts w:ascii="Times New Roman" w:hAnsi="Times New Roman"/>
          <w:b/>
          <w:sz w:val="20"/>
        </w:rPr>
        <w:t>Day</w:t>
      </w:r>
      <w:r>
        <w:rPr>
          <w:rFonts w:ascii="Times New Roman" w:hAnsi="Times New Roman"/>
          <w:sz w:val="20"/>
        </w:rPr>
        <w:t>”) or, if the 60th Day is not a Trading Day, ending immediately after the close of the last Trading Day immediately preceding the 60th Day (such period of time between the date hereof and, as the case may be, the 60th Day or the last Trading Day immediately preceding the 60th Day, referred to herein as the “</w:t>
      </w:r>
      <w:r>
        <w:rPr>
          <w:rFonts w:ascii="Times New Roman" w:hAnsi="Times New Roman"/>
          <w:b/>
          <w:sz w:val="20"/>
        </w:rPr>
        <w:t>Restricted Period</w:t>
      </w:r>
      <w:r>
        <w:rPr>
          <w:rFonts w:ascii="Times New Roman" w:hAnsi="Times New Roman"/>
          <w:sz w:val="20"/>
        </w:rPr>
        <w:t>”), (1) offer, pledge, sell, contract to sell, sell any option or contract to purchase, purchase any option or contract to sell, grant any option, right or warrant to purchase, lend, or otherwise transfer or dispose of, directly or indirectly, any shares of Common Stock owned or hereafter acquired by the undersigned or with respect to which the undersigned has or hereafter acquires the power of disposition (including, without limitation, Common Stock or such other securities which may be deemed to be beneficially owned (as such term is used in Rule 13d-3 of the Securities Exchange Act of 1934, as amended (the “</w:t>
      </w:r>
      <w:r>
        <w:rPr>
          <w:rFonts w:ascii="Times New Roman" w:hAnsi="Times New Roman"/>
          <w:b/>
          <w:sz w:val="20"/>
        </w:rPr>
        <w:t>Exchange Act</w:t>
      </w:r>
      <w:r>
        <w:rPr>
          <w:rFonts w:ascii="Times New Roman" w:hAnsi="Times New Roman"/>
          <w:sz w:val="20"/>
        </w:rPr>
        <w:t xml:space="preserve">”))) and securities which may be issued upon exercise of a stock option or warrant by the undersigned or any other securities so owned convertible into or exercisable or exchangeable for Common Stock or (2) enter into any hedging, swap, loan or other arrangement (including, without limitation, any short sale or the purchase or sale of, or entry into, any put or call option, or combination thereof, forward or any other derivative transaction or instrument, however described or defined) that transfers to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another, in whole or in part, directly or indirectly, any of the economic consequences of ownership of the Common Stock, whether any such transaction described in clause (1) or (2) above is to be settled by delivery of Common Stock or such other securities, in cash or otherwise. The undersigned acknowledges and agrees that the foregoing precludes the undersigned from engaging in any hedging or other transactions designed or intended, or which could reasonably be expected to lead to or result in, a sale or disposition of any Common Stock, or securities convertible into or exercisable or exchangeable for Common Stock, even if any such sale or disposition transaction or transactions would be made or executed by or on behalf of someone other than the undersigned. For purposes of this letter agreement (this “</w:t>
      </w:r>
      <w:r>
        <w:rPr>
          <w:rFonts w:ascii="Times New Roman" w:hAnsi="Times New Roman"/>
          <w:b/>
          <w:sz w:val="20"/>
        </w:rPr>
        <w:t>Agreement</w:t>
      </w:r>
      <w:r>
        <w:rPr>
          <w:rFonts w:ascii="Times New Roman" w:hAnsi="Times New Roman"/>
          <w:sz w:val="20"/>
        </w:rPr>
        <w:t>”), a “</w:t>
      </w:r>
      <w:r>
        <w:rPr>
          <w:rFonts w:ascii="Times New Roman" w:hAnsi="Times New Roman"/>
          <w:b/>
          <w:sz w:val="20"/>
        </w:rPr>
        <w:t>Trading Day</w:t>
      </w:r>
      <w:r>
        <w:rPr>
          <w:rFonts w:ascii="Times New Roman" w:hAnsi="Times New Roman"/>
          <w:sz w:val="20"/>
        </w:rPr>
        <w:t xml:space="preserve">” is a day on which the Nasdaq Global Select Market is open for the buying and selling of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shall not apply to the following, </w:t>
      </w:r>
      <w:r>
        <w:rPr>
          <w:rFonts w:ascii="Times New Roman" w:hAnsi="Times New Roman"/>
          <w:i/>
          <w:sz w:val="20"/>
        </w:rPr>
        <w:t>provided</w:t>
      </w:r>
      <w:r>
        <w:rPr>
          <w:rFonts w:ascii="Times New Roman" w:hAnsi="Times New Roman"/>
          <w:sz w:val="20"/>
        </w:rPr>
        <w:t xml:space="preserve"> that in the case of any transfer or distribution pursuant to clauses (b) and (c) below, (A) each donee, devisee, trustee, distributee or transferee, as the case may be, shall sign and deliver a lock-up agreement substantially in the form of this Agreement for the balance of the Restricted Period, (B) any such transfer shall not involve a disposition for value, (C) such transfers are not required to be reported during the Restricted Period in a filing with the Securities and Exchange Commission under Section 16(a) of the Exchange Act on Form 4 or Form 5 (or, in the case of sub-clause (b)(i)-(viii) or clause (c), any filing, if required, shall indicate in the footnotes thereto that the filing relates to circumstances described in the relevant sub-clause) and (D) the undersigned does not otherwise voluntarily effect any public filing or report regarding such transfers: </w:t>
      </w:r>
    </w:p>
    <w:p>
      <w:pPr>
        <w:pStyle w:val="TextBody"/>
        <w:bidi w:val="0"/>
        <w:spacing w:before="240" w:after="0"/>
        <w:jc w:val="left"/>
        <w:rPr>
          <w:rFonts w:ascii="Times New Roman" w:hAnsi="Times New Roman"/>
          <w:sz w:val="20"/>
        </w:rPr>
      </w:pPr>
      <w:r>
        <w:rPr>
          <w:rFonts w:ascii="Times New Roman" w:hAnsi="Times New Roman"/>
          <w:sz w:val="20"/>
        </w:rPr>
        <w:t xml:space="preserve">(a) transactions relating to shares of Common Stock or other securities acquired in open market transactions after the closing date of the Public Offering, </w:t>
      </w:r>
      <w:r>
        <w:rPr>
          <w:rFonts w:ascii="Times New Roman" w:hAnsi="Times New Roman"/>
          <w:i/>
          <w:sz w:val="20"/>
        </w:rPr>
        <w:t>provided</w:t>
      </w:r>
      <w:r>
        <w:rPr>
          <w:rFonts w:ascii="Times New Roman" w:hAnsi="Times New Roman"/>
          <w:sz w:val="20"/>
        </w:rPr>
        <w:t xml:space="preserve"> that no public report or filing with the Securities and Exchange Commission is voluntarily made during the Restricted Period (and if such a filing is required, such filing must disclose that such transfer was made pursuant to a valid exemption from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transfers, dispositions or distributions of shares of Common Stock or any security convertible into Common Stock as: (i) a bona fide gift, including, without limitation, to a charitable organization or educational institution, or for bona fide estate or tax planning purposes, (ii) by will, testamentary document or intestacy, (iii) by operation of law, such as pursuant to a qualified domestic relations order, divorce settlement, divorce decree or separation agreement, (iv) pursuant to an order of a court or regulatory agency having jurisdiction over the undersigned, (v) to any corporation, partnership, limited liability company or other entity of which the undersigned or the immediate family of the undersigned (as defined in FINRA Rule 5130(i)(5)) are the legal and beneficial owner of all of the outstanding equity securities or similar interests, (vi) to any member of the undersigned’s immediate family or to any trust, partnership, limited liability company or other entity for the direct or indirect benefit of the undersigned and/or any member of the undersigned’s immediate family, or if the undersigned is a trust, to a trustor or beneficiary of the trust or to the estate of the beneficiary of such trust, (vii) to any nominee or custodian of a person or entity to whom a disposition or transfer would be permissible under clauses (i) through (vi) above, or (viii) to the Company upon the undersigned’s death, disability or termination of employment or other service relationship with the Company; </w:t>
      </w:r>
      <w:r>
        <w:rPr>
          <w:rFonts w:ascii="Times New Roman" w:hAnsi="Times New Roman"/>
          <w:i/>
          <w:sz w:val="20"/>
        </w:rPr>
        <w:t xml:space="preserve">provided </w:t>
      </w:r>
      <w:r>
        <w:rPr>
          <w:rFonts w:ascii="Times New Roman" w:hAnsi="Times New Roman"/>
          <w:sz w:val="20"/>
        </w:rPr>
        <w:t xml:space="preserve">that such Common Stock was issued to the undersigned pursuant to an agreement or equity award granted pursuant to an employee benefit plan, option, warrant or other right disclosed in the Prospectus,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if the undersigned is not an individual, distributions of shares of Common Stock or any security convertible into Common Stock to: (i) another corporation, partnership, limited liability company, trust or other business entity that is an affiliate (as defined in Rule 405 promulgated under the Securities Act of 1933, as amended)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(ii) as part of a distribution to limited partners, limited liability company members or stockholders of the undersigned or holders of similar equity interests in the undersigned, </w:t>
      </w:r>
    </w:p>
    <w:p>
      <w:pPr>
        <w:pStyle w:val="TextBody"/>
        <w:bidi w:val="0"/>
        <w:spacing w:before="240" w:after="0"/>
        <w:jc w:val="left"/>
        <w:rPr>
          <w:rFonts w:ascii="Times New Roman" w:hAnsi="Times New Roman"/>
          <w:sz w:val="20"/>
        </w:rPr>
      </w:pPr>
      <w:r>
        <w:rPr>
          <w:rFonts w:ascii="Times New Roman" w:hAnsi="Times New Roman"/>
          <w:sz w:val="20"/>
        </w:rPr>
        <w:t xml:space="preserve">(d) facilitating the establishment of a trading plan on behalf of a stockholder, officer or director of the Company pursuant to Rule 10b5-1 under the Exchange Act for the transfer of shares of Common Stock, </w:t>
      </w:r>
      <w:r>
        <w:rPr>
          <w:rFonts w:ascii="Times New Roman" w:hAnsi="Times New Roman"/>
          <w:i/>
          <w:sz w:val="20"/>
        </w:rPr>
        <w:t>provided</w:t>
      </w:r>
      <w:r>
        <w:rPr>
          <w:rFonts w:ascii="Times New Roman" w:hAnsi="Times New Roman"/>
          <w:sz w:val="20"/>
        </w:rPr>
        <w:t xml:space="preserve"> that (i) such plan does not provide for the transfer of Common Stock during the Restricted Period and (ii) to the extent a public announcement or filing under the Exchange Act, if any, is required of or voluntarily made by or on behalf of the undersigned or the Company regarding the establishment of such plan, such announcement or filing shall include a statement to the effect that no transfer of Common Stock may be made under such plan during the Restricted Period, </w:t>
      </w:r>
    </w:p>
    <w:p>
      <w:pPr>
        <w:pStyle w:val="TextBody"/>
        <w:bidi w:val="0"/>
        <w:spacing w:before="240" w:after="0"/>
        <w:jc w:val="left"/>
        <w:rPr>
          <w:rFonts w:ascii="Times New Roman" w:hAnsi="Times New Roman"/>
          <w:sz w:val="20"/>
        </w:rPr>
      </w:pPr>
      <w:r>
        <w:rPr>
          <w:rFonts w:ascii="Times New Roman" w:hAnsi="Times New Roman"/>
          <w:sz w:val="20"/>
        </w:rPr>
        <w:t>(e) to the Company in connection with the vesting, exercise or settlement of options, warrants, restricted stock units (“</w:t>
      </w:r>
      <w:r>
        <w:rPr>
          <w:rFonts w:ascii="Times New Roman" w:hAnsi="Times New Roman"/>
          <w:b/>
          <w:sz w:val="20"/>
        </w:rPr>
        <w:t>RSUs</w:t>
      </w:r>
      <w:r>
        <w:rPr>
          <w:rFonts w:ascii="Times New Roman" w:hAnsi="Times New Roman"/>
          <w:sz w:val="20"/>
        </w:rPr>
        <w:t xml:space="preserve">”) or other rights to purchase shares of Common Stock (including, in each case, by way of “net” or “cashless” exercise), including for the payment of exercise price and tax and remittance payments due as a result of the vesting, exercise or settlement of such options, warrants, RSUs or rights, </w:t>
      </w:r>
      <w:r>
        <w:rPr>
          <w:rFonts w:ascii="Times New Roman" w:hAnsi="Times New Roman"/>
          <w:i/>
          <w:sz w:val="20"/>
        </w:rPr>
        <w:t xml:space="preserve">provided that </w:t>
      </w:r>
      <w:r>
        <w:rPr>
          <w:rFonts w:ascii="Times New Roman" w:hAnsi="Times New Roman"/>
          <w:sz w:val="20"/>
        </w:rPr>
        <w:t xml:space="preserve">any shares of Common Stock received upon such vesting, exercise or settlement shall be subject to the terms of this Agreement, and </w:t>
      </w:r>
      <w:r>
        <w:rPr>
          <w:rFonts w:ascii="Times New Roman" w:hAnsi="Times New Roman"/>
          <w:i/>
          <w:sz w:val="20"/>
        </w:rPr>
        <w:t xml:space="preserve">provided further </w:t>
      </w:r>
      <w:r>
        <w:rPr>
          <w:rFonts w:ascii="Times New Roman" w:hAnsi="Times New Roman"/>
          <w:sz w:val="20"/>
        </w:rPr>
        <w:t>that any such options, warrants, RSUs or rights are held by the undersigned pursuant to (A) an agreement or (B) equity awards granted under an equity incentive plan, stock purchase plan or other equity award plan (each, an “</w:t>
      </w:r>
      <w:r>
        <w:rPr>
          <w:rFonts w:ascii="Times New Roman" w:hAnsi="Times New Roman"/>
          <w:b/>
          <w:sz w:val="20"/>
        </w:rPr>
        <w:t>Equity Plan</w:t>
      </w:r>
      <w:r>
        <w:rPr>
          <w:rFonts w:ascii="Times New Roman" w:hAnsi="Times New Roman"/>
          <w:sz w:val="20"/>
        </w:rPr>
        <w:t xml:space="preserve">”), each such agreement or Equity Plan which is described in the Prospectus; </w:t>
      </w:r>
      <w:r>
        <w:rPr>
          <w:rFonts w:ascii="Times New Roman" w:hAnsi="Times New Roman"/>
          <w:i/>
          <w:sz w:val="20"/>
        </w:rPr>
        <w:t>provided further</w:t>
      </w:r>
      <w:r>
        <w:rPr>
          <w:rFonts w:ascii="Times New Roman" w:hAnsi="Times New Roman"/>
          <w:sz w:val="20"/>
        </w:rPr>
        <w:t xml:space="preserve"> that, if any filing with the Securities and Exchange Commission under Section 16(a) of the Exchange Act on Form 4 or Form 5 is required in connection with any such vesting, exercise or settlement, such filing shall indicate in the footnotes thereto that the filing relates to circumstances described in this clause (e), </w:t>
      </w:r>
    </w:p>
    <w:p>
      <w:pPr>
        <w:pStyle w:val="TextBody"/>
        <w:bidi w:val="0"/>
        <w:spacing w:before="240" w:after="0"/>
        <w:jc w:val="left"/>
        <w:rPr>
          <w:rFonts w:ascii="Times New Roman" w:hAnsi="Times New Roman"/>
          <w:sz w:val="20"/>
        </w:rPr>
      </w:pPr>
      <w:r>
        <w:rPr>
          <w:rFonts w:ascii="Times New Roman" w:hAnsi="Times New Roman"/>
          <w:sz w:val="20"/>
        </w:rPr>
        <w:t xml:space="preserve">(f) in connection with the sale or other transfer of the undersigned’s shares of Common Stock to satisfy any tax obligations or payments (including estimated taxes) due as a result of (A) the exercise of stock options or (B) the settlement of RSUs pursuant to awards granted under an Equity Plan described in the Prospectus, </w:t>
      </w:r>
      <w:r>
        <w:rPr>
          <w:rFonts w:ascii="Times New Roman" w:hAnsi="Times New Roman"/>
          <w:i/>
          <w:sz w:val="20"/>
        </w:rPr>
        <w:t>provided that</w:t>
      </w:r>
      <w:r>
        <w:rPr>
          <w:rFonts w:ascii="Times New Roman" w:hAnsi="Times New Roman"/>
          <w:sz w:val="20"/>
        </w:rPr>
        <w:t xml:space="preserve">, in each case, any remaining shares of Common Stock received upon such exercise or settlement shall remain subject to the terms of this Agreement; </w:t>
      </w:r>
      <w:r>
        <w:rPr>
          <w:rFonts w:ascii="Times New Roman" w:hAnsi="Times New Roman"/>
          <w:i/>
          <w:sz w:val="20"/>
        </w:rPr>
        <w:t>provided further</w:t>
      </w:r>
      <w:r>
        <w:rPr>
          <w:rFonts w:ascii="Times New Roman" w:hAnsi="Times New Roman"/>
          <w:sz w:val="20"/>
        </w:rPr>
        <w:t xml:space="preserve"> that, if any filing with the Securities and Exchange Commission under Section 16(a) of the Exchange Act on Form 4 or Form 5 is required in connection with any such sale or other transfer, such filing shall indicate in the footnotes thereto that the filing relates to circumstances described in this clause (f),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(g) pursuant to a bona fide third-party tender offer, merger, consolidation or other similar transaction that is approved by the board of directors of the Company and made to all holders of the Company’s capital stock involving a Change of Control (as defined below) of the Company (for purposes hereof, “</w:t>
      </w:r>
      <w:r>
        <w:rPr>
          <w:rFonts w:ascii="Times New Roman" w:hAnsi="Times New Roman"/>
          <w:b/>
          <w:sz w:val="20"/>
        </w:rPr>
        <w:t>Change of Control</w:t>
      </w:r>
      <w:r>
        <w:rPr>
          <w:rFonts w:ascii="Times New Roman" w:hAnsi="Times New Roman"/>
          <w:sz w:val="20"/>
        </w:rPr>
        <w:t xml:space="preserve">”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more than 50% of the outstanding voting securities of the Company (or the surviving entity)); </w:t>
      </w:r>
      <w:r>
        <w:rPr>
          <w:rFonts w:ascii="Times New Roman" w:hAnsi="Times New Roman"/>
          <w:i/>
          <w:sz w:val="20"/>
        </w:rPr>
        <w:t xml:space="preserve">provided that </w:t>
      </w:r>
      <w:r>
        <w:rPr>
          <w:rFonts w:ascii="Times New Roman" w:hAnsi="Times New Roman"/>
          <w:sz w:val="20"/>
        </w:rPr>
        <w:t xml:space="preserve">in the event that such tender offer, merger, consolidation or other similar transaction is not completed, the undersigned’s shares of Common Stock and any other securities subject to this Agreement shall remain subject to the provisions of this Agreement, or </w:t>
      </w:r>
    </w:p>
    <w:p>
      <w:pPr>
        <w:pStyle w:val="TextBody"/>
        <w:bidi w:val="0"/>
        <w:spacing w:before="240" w:after="0"/>
        <w:jc w:val="left"/>
        <w:rPr>
          <w:rFonts w:ascii="Times New Roman" w:hAnsi="Times New Roman"/>
          <w:sz w:val="20"/>
        </w:rPr>
      </w:pPr>
      <w:r>
        <w:rPr>
          <w:rFonts w:ascii="Times New Roman" w:hAnsi="Times New Roman"/>
          <w:sz w:val="20"/>
        </w:rPr>
        <w:t xml:space="preserve">(h) the exercise of options, the vesting or settlement of RSUs or other equity awards or the exercise of warrants granted pursuant to Equity Plans or agreements described in the Prospectus; </w:t>
      </w:r>
      <w:r>
        <w:rPr>
          <w:rFonts w:ascii="Times New Roman" w:hAnsi="Times New Roman"/>
          <w:i/>
          <w:sz w:val="20"/>
        </w:rPr>
        <w:t xml:space="preserve">provided that </w:t>
      </w:r>
      <w:r>
        <w:rPr>
          <w:rFonts w:ascii="Times New Roman" w:hAnsi="Times New Roman"/>
          <w:sz w:val="20"/>
        </w:rPr>
        <w:t xml:space="preserve">any shares of Common Stock received upon such vesting, exercise or settlement shall be subject to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undersigned agrees that, without the prior written consent of Morgan Stanley on behalf of the Underwriters, it will not, during the Restricted Period, make any demand for, or exercise any right with respect to, the registration of any shares of Common Stock or any security convertible into or exercisable or exchangeable for Common Stock. The undersigned also agrees and consents to the entry of stop transfer instructions with the Company’s transfer agent and registrar against the transfer of the undersigned’s shares of Common Stock except in compliance with the foregoing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represents and warrants that the undersigned has full power, capacity and authority to enter into this Agreement. The undersigned understands that the Company and the Underwriters are relying upon this Agreement in proceeding toward consummation of the Public Offering. The undersigned further understands that this Agreement is irrevocable and shall be binding upon the undersigned’s heirs, legal representatives,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acknowledges and agrees that the Underwriters have not provided any recommendation or investment advice nor have the Underwriters solicited any action from the undersigned with respect to the Public Offering of the Shares and the undersigned has consulted its own legal, accounting, financial, regulatory and tax advisors to the extent deemed appropriate. The undersigned further acknowledges and agrees that, although the Underwriters may provide certain Regulation Best Interest and Form CRS disclosures or other related documentation to the undersigned in connection with the Public Offering, the Underwriters are not making a recommendation to the undersigned to participate in the Public Offering or sell any Shares at the price determined in the Public Offering, and nothing set forth in such disclosures or documentation is intended to suggest that any Underwriter is making such a recommendation.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Whether or not the Public Offering actually occurs depends on a number of factors, including market conditions. Any Public Offering will only be made pursuant to an Underwriting Agreement, the terms of which are subject to negotiation between the Company and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understands that, if (i) Morgan Stanley, on the one hand, or the Company, on the other hand, informs the other in writing, prior to the execution of the Underwriting Agreement, that it has determined not to proceed with the Public Offering, (ii) the Underwriting Agreement (other than the provisions thereof which survive termination) shall terminate or be terminated prior to payment for and delivery of the securities to be sold thereunder, or (iii) the Underwriting Agreement is not executed on or before May 29, 2026 (provided that the Company may, by written notice to the undersigned prior to such date, extend such date for a period of up to one additional month), then, in each case, this Agreement shall automatically, and without any action on the part of any other party, be of no further force and effect, and the undersigned shall be automatically released from all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may be executed in any number of counterparts, each of which shall be deemed to be an original, but all such counterparts shall together constitute one and the same agreement. Electronic signatures complying with the New York Electronic Signatures and Records Act (N.Y. State Tech. §§ 301-309), as amended from time to time, or other applicable law will be deemed original signatures for purposes of this Agreement. Transmission by telecopy, electronic mail or other transmission method of an executed counterpart of this Agreement will constitute due and sufficient delivery of such counterpart.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8" w:space="1" w:color="000000"/>
              </w:pBdr>
              <w:bidi w:val="0"/>
              <w:spacing w:before="0" w:after="20"/>
              <w:jc w:val="left"/>
              <w:rPr/>
            </w:pPr>
            <w:r>
              <w:rPr/>
              <w:t> </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c/o PDF Solutions, Inc.</w:t>
            </w:r>
          </w:p>
          <w:p>
            <w:pPr>
              <w:pStyle w:val="TableContents"/>
              <w:bidi w:val="0"/>
              <w:spacing w:before="0" w:after="0"/>
              <w:jc w:val="left"/>
              <w:rPr>
                <w:rFonts w:ascii="Times New Roman" w:hAnsi="Times New Roman"/>
                <w:sz w:val="20"/>
              </w:rPr>
            </w:pPr>
            <w:r>
              <w:rPr>
                <w:rFonts w:ascii="Times New Roman" w:hAnsi="Times New Roman"/>
                <w:sz w:val="20"/>
              </w:rPr>
              <w:t>2858 De La Cruz Blvd.</w:t>
            </w:r>
          </w:p>
          <w:p>
            <w:pPr>
              <w:pStyle w:val="TableContents"/>
              <w:bidi w:val="0"/>
              <w:spacing w:before="0" w:after="20"/>
              <w:jc w:val="left"/>
              <w:rPr>
                <w:rFonts w:ascii="Times New Roman" w:hAnsi="Times New Roman"/>
                <w:sz w:val="20"/>
              </w:rPr>
            </w:pPr>
            <w:r>
              <w:rPr>
                <w:rFonts w:ascii="Times New Roman" w:hAnsi="Times New Roman"/>
                <w:sz w:val="20"/>
              </w:rPr>
              <w:t>Santa Clara, CA 95050</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8" w:space="1" w:color="000000"/>
              </w:pBdr>
              <w:bidi w:val="0"/>
              <w:spacing w:before="0" w:after="20"/>
              <w:jc w:val="left"/>
              <w:rPr/>
            </w:pPr>
            <w:r>
              <w:rPr/>
              <w:t> </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8"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(Address)</w:t>
            </w:r>
          </w:p>
        </w:tc>
      </w:tr>
    </w:tbl>
    <w:p>
      <w:pPr>
        <w:pStyle w:val="TextBody"/>
        <w:bidi w:val="0"/>
        <w:spacing w:before="0" w:after="0"/>
        <w:jc w:val="right"/>
        <w:rPr>
          <w:rFonts w:ascii="Times New Roman" w:hAnsi="Times New Roman"/>
          <w:b/>
          <w:sz w:val="20"/>
        </w:rPr>
      </w:pPr>
      <w:bookmarkStart w:id="4" w:name="d121225dex51.htm"/>
      <w:bookmarkStart w:id="5" w:name="ksd121225dex51"/>
      <w:bookmarkEnd w:id="4"/>
      <w:bookmarkEnd w:id="5"/>
      <w:r>
        <w:rPr>
          <w:rFonts w:ascii="Times New Roman" w:hAnsi="Times New Roman"/>
          <w:b/>
          <w:sz w:val="20"/>
        </w:rPr>
        <w:t xml:space="preserve">Exhibit 5.1 </w:t>
      </w:r>
      <w:r>
        <w:br w:type="page"/>
      </w:r>
    </w:p>
    <w:p>
      <w:pPr>
        <w:pStyle w:val="TextBody"/>
        <w:bidi w:val="0"/>
        <w:spacing w:before="0" w:after="0"/>
        <w:jc w:val="left"/>
        <w:rPr/>
      </w:pPr>
      <w:r>
        <w:rPr/>
        <w:t> </w:t>
      </w:r>
    </w:p>
    <w:tbl>
      <w:tblPr>
        <w:tblW w:w="12055" w:type="dxa"/>
        <w:jc w:val="center"/>
        <w:tblInd w:w="0" w:type="dxa"/>
        <w:tblLayout w:type="fixed"/>
        <w:tblCellMar>
          <w:top w:w="0" w:type="dxa"/>
          <w:left w:w="0" w:type="dxa"/>
          <w:bottom w:w="0" w:type="dxa"/>
          <w:right w:w="0" w:type="dxa"/>
        </w:tblCellMar>
      </w:tblPr>
      <w:tblGrid>
        <w:gridCol w:w="4200"/>
        <w:gridCol w:w="60"/>
        <w:gridCol w:w="1220"/>
        <w:gridCol w:w="815"/>
        <w:gridCol w:w="1745"/>
        <w:gridCol w:w="485"/>
        <w:gridCol w:w="650"/>
        <w:gridCol w:w="815"/>
        <w:gridCol w:w="575"/>
        <w:gridCol w:w="1490"/>
      </w:tblGrid>
      <w:tr>
        <w:trPr/>
        <w:tc>
          <w:tcPr>
            <w:tcW w:w="42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485" w:type="dxa"/>
            <w:tcBorders/>
          </w:tcPr>
          <w:p>
            <w:pPr>
              <w:pStyle w:val="TableContents"/>
              <w:bidi w:val="0"/>
              <w:spacing w:before="0" w:after="283"/>
              <w:jc w:val="left"/>
              <w:rPr>
                <w:sz w:val="4"/>
                <w:szCs w:val="4"/>
              </w:rPr>
            </w:pPr>
            <w:r>
              <w:rPr>
                <w:sz w:val="4"/>
                <w:szCs w:val="4"/>
              </w:rPr>
            </w:r>
          </w:p>
        </w:tc>
        <w:tc>
          <w:tcPr>
            <w:tcW w:w="650" w:type="dxa"/>
            <w:tcBorders/>
          </w:tcPr>
          <w:p>
            <w:pPr>
              <w:pStyle w:val="TableContents"/>
              <w:bidi w:val="0"/>
              <w:spacing w:before="0" w:after="283"/>
              <w:jc w:val="left"/>
              <w:rPr>
                <w:sz w:val="4"/>
                <w:szCs w:val="4"/>
              </w:rPr>
            </w:pPr>
            <w:r>
              <w:rPr>
                <w:sz w:val="4"/>
                <w:szCs w:val="4"/>
              </w:rPr>
            </w:r>
          </w:p>
        </w:tc>
        <w:tc>
          <w:tcPr>
            <w:tcW w:w="815" w:type="dxa"/>
            <w:tcBorders/>
          </w:tcPr>
          <w:p>
            <w:pPr>
              <w:pStyle w:val="TableContents"/>
              <w:bidi w:val="0"/>
              <w:spacing w:before="0" w:after="283"/>
              <w:jc w:val="left"/>
              <w:rPr>
                <w:sz w:val="4"/>
                <w:szCs w:val="4"/>
              </w:rPr>
            </w:pPr>
            <w:r>
              <w:rPr>
                <w:sz w:val="4"/>
                <w:szCs w:val="4"/>
              </w:rPr>
            </w:r>
          </w:p>
        </w:tc>
        <w:tc>
          <w:tcPr>
            <w:tcW w:w="575" w:type="dxa"/>
            <w:tcBorders/>
          </w:tcPr>
          <w:p>
            <w:pPr>
              <w:pStyle w:val="TableContents"/>
              <w:bidi w:val="0"/>
              <w:spacing w:before="0" w:after="283"/>
              <w:jc w:val="left"/>
              <w:rPr>
                <w:sz w:val="4"/>
                <w:szCs w:val="4"/>
              </w:rPr>
            </w:pPr>
            <w:r>
              <w:rPr>
                <w:sz w:val="4"/>
                <w:szCs w:val="4"/>
              </w:rPr>
            </w:r>
          </w:p>
        </w:tc>
        <w:tc>
          <w:tcPr>
            <w:tcW w:w="1490" w:type="dxa"/>
            <w:tcBorders/>
          </w:tcPr>
          <w:p>
            <w:pPr>
              <w:pStyle w:val="TableContents"/>
              <w:bidi w:val="0"/>
              <w:spacing w:before="0" w:after="283"/>
              <w:jc w:val="left"/>
              <w:rPr>
                <w:sz w:val="4"/>
                <w:szCs w:val="4"/>
              </w:rPr>
            </w:pPr>
            <w:r>
              <w:rPr>
                <w:sz w:val="4"/>
                <w:szCs w:val="4"/>
              </w:rPr>
            </w:r>
          </w:p>
        </w:tc>
      </w:tr>
      <w:tr>
        <w:trPr/>
        <w:tc>
          <w:tcPr>
            <w:tcW w:w="4200" w:type="dxa"/>
            <w:vMerge w:val="restart"/>
            <w:tcBorders/>
            <w:vAlign w:val="bottom"/>
          </w:tcPr>
          <w:p>
            <w:pPr>
              <w:pStyle w:val="TableContents"/>
              <w:bidi w:val="0"/>
              <w:spacing w:before="0" w:after="283"/>
              <w:jc w:val="left"/>
              <w:rPr/>
            </w:pPr>
            <w:r>
              <w:rPr/>
              <w:drawing>
                <wp:inline distT="0" distB="0" distL="0" distR="0">
                  <wp:extent cx="2667000" cy="266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67000" cy="266700"/>
                          </a:xfrm>
                          <a:prstGeom prst="rect">
                            <a:avLst/>
                          </a:prstGeom>
                        </pic:spPr>
                      </pic:pic>
                    </a:graphicData>
                  </a:graphic>
                </wp:inline>
              </w:drawing>
            </w:r>
            <w:r>
              <w:rPr/>
              <w:t xml:space="preserve"> </w:t>
            </w:r>
          </w:p>
        </w:tc>
        <w:tc>
          <w:tcPr>
            <w:tcW w:w="60" w:type="dxa"/>
            <w:vMerge w:val="restart"/>
            <w:tcBorders/>
            <w:vAlign w:val="bottom"/>
          </w:tcPr>
          <w:p>
            <w:pPr>
              <w:pStyle w:val="TableContents"/>
              <w:bidi w:val="0"/>
              <w:spacing w:before="0" w:after="283"/>
              <w:jc w:val="left"/>
              <w:rPr/>
            </w:pPr>
            <w:r>
              <w:rPr/>
              <w:t> </w:t>
            </w:r>
          </w:p>
        </w:tc>
        <w:tc>
          <w:tcPr>
            <w:tcW w:w="3780" w:type="dxa"/>
            <w:gridSpan w:val="3"/>
            <w:vMerge w:val="restart"/>
            <w:tcBorders/>
            <w:vAlign w:val="bottom"/>
          </w:tcPr>
          <w:p>
            <w:pPr>
              <w:pStyle w:val="TableContents"/>
              <w:bidi w:val="0"/>
              <w:spacing w:before="0" w:after="0"/>
              <w:jc w:val="left"/>
              <w:rPr>
                <w:rFonts w:ascii="Times New Roman" w:hAnsi="Times New Roman"/>
                <w:sz w:val="20"/>
              </w:rPr>
            </w:pPr>
            <w:r>
              <w:rPr>
                <w:rFonts w:ascii="Times New Roman" w:hAnsi="Times New Roman"/>
                <w:sz w:val="20"/>
              </w:rPr>
              <w:t>801 Jefferson Avenue, Suite 300</w:t>
            </w:r>
          </w:p>
          <w:p>
            <w:pPr>
              <w:pStyle w:val="TableContents"/>
              <w:bidi w:val="0"/>
              <w:spacing w:before="0" w:after="0"/>
              <w:jc w:val="left"/>
              <w:rPr>
                <w:rFonts w:ascii="Times New Roman" w:hAnsi="Times New Roman"/>
                <w:sz w:val="20"/>
              </w:rPr>
            </w:pPr>
            <w:r>
              <w:rPr>
                <w:rFonts w:ascii="Times New Roman" w:hAnsi="Times New Roman"/>
                <w:sz w:val="20"/>
              </w:rPr>
              <w:t>Redwood City, California 94063</w:t>
            </w:r>
          </w:p>
          <w:p>
            <w:pPr>
              <w:pStyle w:val="TableContents"/>
              <w:bidi w:val="0"/>
              <w:spacing w:before="0" w:after="0"/>
              <w:jc w:val="left"/>
              <w:rPr>
                <w:rFonts w:ascii="Times New Roman" w:hAnsi="Times New Roman"/>
                <w:sz w:val="20"/>
              </w:rPr>
            </w:pPr>
            <w:r>
              <w:rPr>
                <w:rFonts w:ascii="Times New Roman" w:hAnsi="Times New Roman"/>
                <w:sz w:val="20"/>
              </w:rPr>
              <w:t>Tel: +1.650.328.4600 Fax: +1.650.463.2600</w:t>
            </w:r>
          </w:p>
          <w:p>
            <w:pPr>
              <w:pStyle w:val="TableContents"/>
              <w:bidi w:val="0"/>
              <w:spacing w:before="0" w:after="0"/>
              <w:jc w:val="left"/>
              <w:rPr>
                <w:rFonts w:ascii="Times New Roman" w:hAnsi="Times New Roman"/>
                <w:sz w:val="20"/>
              </w:rPr>
            </w:pPr>
            <w:r>
              <w:rPr>
                <w:rFonts w:ascii="Times New Roman" w:hAnsi="Times New Roman"/>
                <w:sz w:val="20"/>
              </w:rPr>
              <w:t>www.lw.com</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FIRM / AFFILIATE OFFICES</w:t>
            </w:r>
          </w:p>
        </w:tc>
        <w:tc>
          <w:tcPr>
            <w:tcW w:w="485" w:type="dxa"/>
            <w:tcBorders/>
          </w:tcPr>
          <w:p>
            <w:pPr>
              <w:pStyle w:val="TableContents"/>
              <w:bidi w:val="0"/>
              <w:spacing w:before="0" w:after="283"/>
              <w:jc w:val="left"/>
              <w:rPr>
                <w:sz w:val="4"/>
                <w:szCs w:val="4"/>
              </w:rPr>
            </w:pPr>
            <w:r>
              <w:rPr>
                <w:sz w:val="4"/>
                <w:szCs w:val="4"/>
              </w:rPr>
            </w:r>
          </w:p>
        </w:tc>
        <w:tc>
          <w:tcPr>
            <w:tcW w:w="650" w:type="dxa"/>
            <w:tcBorders/>
          </w:tcPr>
          <w:p>
            <w:pPr>
              <w:pStyle w:val="TableContents"/>
              <w:bidi w:val="0"/>
              <w:spacing w:before="0" w:after="283"/>
              <w:jc w:val="left"/>
              <w:rPr>
                <w:sz w:val="4"/>
                <w:szCs w:val="4"/>
              </w:rPr>
            </w:pPr>
            <w:r>
              <w:rPr>
                <w:sz w:val="4"/>
                <w:szCs w:val="4"/>
              </w:rPr>
            </w:r>
          </w:p>
        </w:tc>
        <w:tc>
          <w:tcPr>
            <w:tcW w:w="815" w:type="dxa"/>
            <w:tcBorders/>
          </w:tcPr>
          <w:p>
            <w:pPr>
              <w:pStyle w:val="TableContents"/>
              <w:bidi w:val="0"/>
              <w:spacing w:before="0" w:after="283"/>
              <w:jc w:val="left"/>
              <w:rPr>
                <w:sz w:val="4"/>
                <w:szCs w:val="4"/>
              </w:rPr>
            </w:pPr>
            <w:r>
              <w:rPr>
                <w:sz w:val="4"/>
                <w:szCs w:val="4"/>
              </w:rPr>
            </w:r>
          </w:p>
        </w:tc>
        <w:tc>
          <w:tcPr>
            <w:tcW w:w="575" w:type="dxa"/>
            <w:tcBorders/>
          </w:tcPr>
          <w:p>
            <w:pPr>
              <w:pStyle w:val="TableContents"/>
              <w:bidi w:val="0"/>
              <w:spacing w:before="0" w:after="283"/>
              <w:jc w:val="left"/>
              <w:rPr>
                <w:sz w:val="4"/>
                <w:szCs w:val="4"/>
              </w:rPr>
            </w:pPr>
            <w:r>
              <w:rPr>
                <w:sz w:val="4"/>
                <w:szCs w:val="4"/>
              </w:rPr>
            </w:r>
          </w:p>
        </w:tc>
        <w:tc>
          <w:tcPr>
            <w:tcW w:w="1490" w:type="dxa"/>
            <w:tcBorders/>
          </w:tcPr>
          <w:p>
            <w:pPr>
              <w:pStyle w:val="TableContents"/>
              <w:bidi w:val="0"/>
              <w:spacing w:before="0" w:after="283"/>
              <w:jc w:val="left"/>
              <w:rPr>
                <w:sz w:val="4"/>
                <w:szCs w:val="4"/>
              </w:rPr>
            </w:pPr>
            <w:r>
              <w:rPr>
                <w:sz w:val="4"/>
                <w:szCs w:val="4"/>
              </w:rPr>
            </w:r>
          </w:p>
        </w:tc>
      </w:tr>
      <w:tr>
        <w:trPr/>
        <w:tc>
          <w:tcPr>
            <w:tcW w:w="420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3780" w:type="dxa"/>
            <w:gridSpan w:val="3"/>
            <w:vMerge w:val="continue"/>
            <w:tcBorders/>
            <w:vAlign w:val="bottom"/>
          </w:tcPr>
          <w:p>
            <w:pPr>
              <w:pStyle w:val="Normal"/>
              <w:bidi w:val="0"/>
              <w:jc w:val="left"/>
              <w:rPr/>
            </w:pPr>
            <w:r>
              <w:rPr/>
            </w:r>
          </w:p>
        </w:tc>
        <w:tc>
          <w:tcPr>
            <w:tcW w:w="48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left"/>
              <w:rPr/>
            </w:pPr>
            <w:r>
              <w:rPr/>
              <w:t>Austin</w:t>
            </w:r>
          </w:p>
        </w:tc>
        <w:tc>
          <w:tcPr>
            <w:tcW w:w="815"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left"/>
              <w:rPr/>
            </w:pPr>
            <w:r>
              <w:rPr/>
              <w:t>Milan</w:t>
            </w:r>
          </w:p>
        </w:tc>
        <w:tc>
          <w:tcPr>
            <w:tcW w:w="1490" w:type="dxa"/>
            <w:tcBorders/>
          </w:tcPr>
          <w:p>
            <w:pPr>
              <w:pStyle w:val="TableContents"/>
              <w:bidi w:val="0"/>
              <w:spacing w:before="0" w:after="283"/>
              <w:jc w:val="left"/>
              <w:rPr>
                <w:sz w:val="4"/>
                <w:szCs w:val="4"/>
              </w:rPr>
            </w:pPr>
            <w:r>
              <w:rPr>
                <w:sz w:val="4"/>
                <w:szCs w:val="4"/>
              </w:rPr>
            </w:r>
          </w:p>
        </w:tc>
      </w:tr>
      <w:tr>
        <w:trPr/>
        <w:tc>
          <w:tcPr>
            <w:tcW w:w="420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3780" w:type="dxa"/>
            <w:gridSpan w:val="3"/>
            <w:vMerge w:val="continue"/>
            <w:tcBorders/>
            <w:vAlign w:val="bottom"/>
          </w:tcPr>
          <w:p>
            <w:pPr>
              <w:pStyle w:val="Normal"/>
              <w:bidi w:val="0"/>
              <w:jc w:val="left"/>
              <w:rPr/>
            </w:pPr>
            <w:r>
              <w:rPr/>
            </w:r>
          </w:p>
        </w:tc>
        <w:tc>
          <w:tcPr>
            <w:tcW w:w="485" w:type="dxa"/>
            <w:tcBorders/>
            <w:vAlign w:val="bottom"/>
          </w:tcPr>
          <w:p>
            <w:pPr>
              <w:pStyle w:val="TableContents"/>
              <w:bidi w:val="0"/>
              <w:spacing w:before="0" w:after="283"/>
              <w:jc w:val="left"/>
              <w:rPr>
                <w:sz w:val="4"/>
                <w:szCs w:val="4"/>
              </w:rPr>
            </w:pPr>
            <w:r>
              <w:rPr>
                <w:sz w:val="4"/>
                <w:szCs w:val="4"/>
              </w:rPr>
            </w:r>
          </w:p>
        </w:tc>
        <w:tc>
          <w:tcPr>
            <w:tcW w:w="65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left"/>
              <w:rPr/>
            </w:pPr>
            <w:r>
              <w:rPr/>
              <w:t>Beijing</w:t>
            </w:r>
          </w:p>
        </w:tc>
        <w:tc>
          <w:tcPr>
            <w:tcW w:w="575" w:type="dxa"/>
            <w:tcBorders/>
            <w:vAlign w:val="bottom"/>
          </w:tcPr>
          <w:p>
            <w:pPr>
              <w:pStyle w:val="TableContents"/>
              <w:bidi w:val="0"/>
              <w:spacing w:before="0" w:after="283"/>
              <w:jc w:val="left"/>
              <w:rPr/>
            </w:pPr>
            <w:r>
              <w:rPr/>
              <w:t>  </w:t>
            </w:r>
          </w:p>
        </w:tc>
        <w:tc>
          <w:tcPr>
            <w:tcW w:w="1490" w:type="dxa"/>
            <w:tcBorders/>
            <w:vAlign w:val="bottom"/>
          </w:tcPr>
          <w:p>
            <w:pPr>
              <w:pStyle w:val="TableContents"/>
              <w:bidi w:val="0"/>
              <w:spacing w:before="0" w:after="283"/>
              <w:jc w:val="left"/>
              <w:rPr/>
            </w:pPr>
            <w:r>
              <w:rPr/>
              <w:t>Munich</w:t>
            </w:r>
          </w:p>
        </w:tc>
      </w:tr>
      <w:tr>
        <w:trPr/>
        <w:tc>
          <w:tcPr>
            <w:tcW w:w="420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3780" w:type="dxa"/>
            <w:gridSpan w:val="3"/>
            <w:vMerge w:val="continue"/>
            <w:tcBorders/>
            <w:vAlign w:val="bottom"/>
          </w:tcPr>
          <w:p>
            <w:pPr>
              <w:pStyle w:val="Normal"/>
              <w:bidi w:val="0"/>
              <w:jc w:val="left"/>
              <w:rPr/>
            </w:pPr>
            <w:r>
              <w:rPr/>
            </w:r>
          </w:p>
        </w:tc>
        <w:tc>
          <w:tcPr>
            <w:tcW w:w="485" w:type="dxa"/>
            <w:tcBorders/>
            <w:vAlign w:val="bottom"/>
          </w:tcPr>
          <w:p>
            <w:pPr>
              <w:pStyle w:val="TableContents"/>
              <w:bidi w:val="0"/>
              <w:spacing w:before="0" w:after="283"/>
              <w:jc w:val="left"/>
              <w:rPr>
                <w:sz w:val="4"/>
                <w:szCs w:val="4"/>
              </w:rPr>
            </w:pPr>
            <w:r>
              <w:rPr>
                <w:sz w:val="4"/>
                <w:szCs w:val="4"/>
              </w:rPr>
            </w:r>
          </w:p>
        </w:tc>
        <w:tc>
          <w:tcPr>
            <w:tcW w:w="65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left"/>
              <w:rPr/>
            </w:pPr>
            <w:r>
              <w:rPr/>
              <w:t>Boston</w:t>
            </w:r>
          </w:p>
        </w:tc>
        <w:tc>
          <w:tcPr>
            <w:tcW w:w="575" w:type="dxa"/>
            <w:tcBorders/>
            <w:vAlign w:val="bottom"/>
          </w:tcPr>
          <w:p>
            <w:pPr>
              <w:pStyle w:val="TableContents"/>
              <w:bidi w:val="0"/>
              <w:spacing w:before="0" w:after="283"/>
              <w:jc w:val="left"/>
              <w:rPr/>
            </w:pPr>
            <w:r>
              <w:rPr/>
              <w:t>  </w:t>
            </w:r>
          </w:p>
        </w:tc>
        <w:tc>
          <w:tcPr>
            <w:tcW w:w="1490" w:type="dxa"/>
            <w:tcBorders/>
            <w:vAlign w:val="bottom"/>
          </w:tcPr>
          <w:p>
            <w:pPr>
              <w:pStyle w:val="TableContents"/>
              <w:bidi w:val="0"/>
              <w:spacing w:before="0" w:after="283"/>
              <w:jc w:val="left"/>
              <w:rPr/>
            </w:pPr>
            <w:r>
              <w:rPr/>
              <w:t>New York</w:t>
            </w:r>
          </w:p>
        </w:tc>
      </w:tr>
      <w:tr>
        <w:trPr/>
        <w:tc>
          <w:tcPr>
            <w:tcW w:w="420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3780" w:type="dxa"/>
            <w:gridSpan w:val="3"/>
            <w:vMerge w:val="continue"/>
            <w:tcBorders/>
            <w:vAlign w:val="bottom"/>
          </w:tcPr>
          <w:p>
            <w:pPr>
              <w:pStyle w:val="Normal"/>
              <w:bidi w:val="0"/>
              <w:jc w:val="left"/>
              <w:rPr/>
            </w:pPr>
            <w:r>
              <w:rPr/>
            </w:r>
          </w:p>
        </w:tc>
        <w:tc>
          <w:tcPr>
            <w:tcW w:w="485" w:type="dxa"/>
            <w:tcBorders/>
            <w:vAlign w:val="bottom"/>
          </w:tcPr>
          <w:p>
            <w:pPr>
              <w:pStyle w:val="TableContents"/>
              <w:bidi w:val="0"/>
              <w:spacing w:before="0" w:after="283"/>
              <w:jc w:val="left"/>
              <w:rPr>
                <w:sz w:val="4"/>
                <w:szCs w:val="4"/>
              </w:rPr>
            </w:pPr>
            <w:r>
              <w:rPr>
                <w:sz w:val="4"/>
                <w:szCs w:val="4"/>
              </w:rPr>
            </w:r>
          </w:p>
        </w:tc>
        <w:tc>
          <w:tcPr>
            <w:tcW w:w="65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left"/>
              <w:rPr/>
            </w:pPr>
            <w:r>
              <w:rPr/>
              <w:t>Brussels</w:t>
            </w:r>
          </w:p>
        </w:tc>
        <w:tc>
          <w:tcPr>
            <w:tcW w:w="575" w:type="dxa"/>
            <w:tcBorders/>
            <w:vAlign w:val="bottom"/>
          </w:tcPr>
          <w:p>
            <w:pPr>
              <w:pStyle w:val="TableContents"/>
              <w:bidi w:val="0"/>
              <w:spacing w:before="0" w:after="283"/>
              <w:jc w:val="left"/>
              <w:rPr/>
            </w:pPr>
            <w:r>
              <w:rPr/>
              <w:t>  </w:t>
            </w:r>
          </w:p>
        </w:tc>
        <w:tc>
          <w:tcPr>
            <w:tcW w:w="1490" w:type="dxa"/>
            <w:tcBorders/>
            <w:vAlign w:val="bottom"/>
          </w:tcPr>
          <w:p>
            <w:pPr>
              <w:pStyle w:val="TableContents"/>
              <w:bidi w:val="0"/>
              <w:spacing w:before="0" w:after="283"/>
              <w:jc w:val="left"/>
              <w:rPr/>
            </w:pPr>
            <w:r>
              <w:rPr/>
              <w:t>Orange County</w:t>
            </w:r>
          </w:p>
        </w:tc>
      </w:tr>
      <w:tr>
        <w:trPr/>
        <w:tc>
          <w:tcPr>
            <w:tcW w:w="4200"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left"/>
              <w:rPr/>
            </w:pPr>
            <w:r>
              <w:rPr/>
              <w:t>Chicago</w:t>
            </w:r>
          </w:p>
        </w:tc>
        <w:tc>
          <w:tcPr>
            <w:tcW w:w="1745"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pPr>
            <w:r>
              <w:rPr/>
              <w:t>Paris</w:t>
            </w:r>
          </w:p>
        </w:tc>
        <w:tc>
          <w:tcPr>
            <w:tcW w:w="3530" w:type="dxa"/>
            <w:gridSpan w:val="4"/>
            <w:tcBorders/>
          </w:tcPr>
          <w:p>
            <w:pPr>
              <w:pStyle w:val="TableContents"/>
              <w:bidi w:val="0"/>
              <w:spacing w:before="0" w:after="283"/>
              <w:jc w:val="left"/>
              <w:rPr>
                <w:sz w:val="4"/>
                <w:szCs w:val="4"/>
              </w:rPr>
            </w:pPr>
            <w:r>
              <w:rPr>
                <w:sz w:val="4"/>
                <w:szCs w:val="4"/>
              </w:rPr>
            </w:r>
          </w:p>
        </w:tc>
      </w:tr>
      <w:tr>
        <w:trPr/>
        <w:tc>
          <w:tcPr>
            <w:tcW w:w="4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Dubai</w:t>
            </w:r>
          </w:p>
        </w:tc>
        <w:tc>
          <w:tcPr>
            <w:tcW w:w="815" w:type="dxa"/>
            <w:tcBorders/>
            <w:vAlign w:val="bottom"/>
          </w:tcPr>
          <w:p>
            <w:pPr>
              <w:pStyle w:val="TableContents"/>
              <w:bidi w:val="0"/>
              <w:spacing w:before="0" w:after="283"/>
              <w:jc w:val="left"/>
              <w:rPr/>
            </w:pPr>
            <w:r>
              <w:rPr/>
              <w:t>  </w:t>
            </w:r>
          </w:p>
        </w:tc>
        <w:tc>
          <w:tcPr>
            <w:tcW w:w="1745" w:type="dxa"/>
            <w:tcBorders/>
            <w:vAlign w:val="bottom"/>
          </w:tcPr>
          <w:p>
            <w:pPr>
              <w:pStyle w:val="TableContents"/>
              <w:bidi w:val="0"/>
              <w:spacing w:before="0" w:after="283"/>
              <w:jc w:val="left"/>
              <w:rPr/>
            </w:pPr>
            <w:r>
              <w:rPr/>
              <w:t>Riyadh</w:t>
            </w:r>
          </w:p>
        </w:tc>
        <w:tc>
          <w:tcPr>
            <w:tcW w:w="4015" w:type="dxa"/>
            <w:gridSpan w:val="5"/>
            <w:tcBorders/>
          </w:tcPr>
          <w:p>
            <w:pPr>
              <w:pStyle w:val="TableContents"/>
              <w:bidi w:val="0"/>
              <w:spacing w:before="0" w:after="283"/>
              <w:jc w:val="left"/>
              <w:rPr>
                <w:sz w:val="4"/>
                <w:szCs w:val="4"/>
              </w:rPr>
            </w:pPr>
            <w:r>
              <w:rPr>
                <w:sz w:val="4"/>
                <w:szCs w:val="4"/>
              </w:rPr>
            </w:r>
          </w:p>
        </w:tc>
      </w:tr>
      <w:tr>
        <w:trPr/>
        <w:tc>
          <w:tcPr>
            <w:tcW w:w="4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Düsseldorf</w:t>
            </w:r>
          </w:p>
        </w:tc>
        <w:tc>
          <w:tcPr>
            <w:tcW w:w="815" w:type="dxa"/>
            <w:tcBorders/>
            <w:vAlign w:val="bottom"/>
          </w:tcPr>
          <w:p>
            <w:pPr>
              <w:pStyle w:val="TableContents"/>
              <w:bidi w:val="0"/>
              <w:spacing w:before="0" w:after="283"/>
              <w:jc w:val="left"/>
              <w:rPr/>
            </w:pPr>
            <w:r>
              <w:rPr/>
              <w:t>  </w:t>
            </w:r>
          </w:p>
        </w:tc>
        <w:tc>
          <w:tcPr>
            <w:tcW w:w="1745" w:type="dxa"/>
            <w:tcBorders/>
            <w:vAlign w:val="bottom"/>
          </w:tcPr>
          <w:p>
            <w:pPr>
              <w:pStyle w:val="TableContents"/>
              <w:bidi w:val="0"/>
              <w:spacing w:before="0" w:after="283"/>
              <w:jc w:val="left"/>
              <w:rPr/>
            </w:pPr>
            <w:r>
              <w:rPr/>
              <w:t>San Diego</w:t>
            </w:r>
          </w:p>
        </w:tc>
        <w:tc>
          <w:tcPr>
            <w:tcW w:w="4015" w:type="dxa"/>
            <w:gridSpan w:val="5"/>
            <w:tcBorders/>
          </w:tcPr>
          <w:p>
            <w:pPr>
              <w:pStyle w:val="TableContents"/>
              <w:bidi w:val="0"/>
              <w:spacing w:before="0" w:after="283"/>
              <w:jc w:val="left"/>
              <w:rPr>
                <w:sz w:val="4"/>
                <w:szCs w:val="4"/>
              </w:rPr>
            </w:pPr>
            <w:r>
              <w:rPr>
                <w:sz w:val="4"/>
                <w:szCs w:val="4"/>
              </w:rPr>
            </w:r>
          </w:p>
        </w:tc>
      </w:tr>
      <w:tr>
        <w:trPr/>
        <w:tc>
          <w:tcPr>
            <w:tcW w:w="4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Frankfurt</w:t>
            </w:r>
          </w:p>
        </w:tc>
        <w:tc>
          <w:tcPr>
            <w:tcW w:w="815" w:type="dxa"/>
            <w:tcBorders/>
            <w:vAlign w:val="bottom"/>
          </w:tcPr>
          <w:p>
            <w:pPr>
              <w:pStyle w:val="TableContents"/>
              <w:bidi w:val="0"/>
              <w:spacing w:before="0" w:after="283"/>
              <w:jc w:val="left"/>
              <w:rPr/>
            </w:pPr>
            <w:r>
              <w:rPr/>
              <w:t>  </w:t>
            </w:r>
          </w:p>
        </w:tc>
        <w:tc>
          <w:tcPr>
            <w:tcW w:w="1745" w:type="dxa"/>
            <w:tcBorders/>
            <w:vAlign w:val="bottom"/>
          </w:tcPr>
          <w:p>
            <w:pPr>
              <w:pStyle w:val="TableContents"/>
              <w:bidi w:val="0"/>
              <w:spacing w:before="0" w:after="283"/>
              <w:jc w:val="left"/>
              <w:rPr/>
            </w:pPr>
            <w:r>
              <w:rPr/>
              <w:t>San Francisco</w:t>
            </w:r>
          </w:p>
        </w:tc>
        <w:tc>
          <w:tcPr>
            <w:tcW w:w="4015" w:type="dxa"/>
            <w:gridSpan w:val="5"/>
            <w:tcBorders/>
          </w:tcPr>
          <w:p>
            <w:pPr>
              <w:pStyle w:val="TableContents"/>
              <w:bidi w:val="0"/>
              <w:spacing w:before="0" w:after="283"/>
              <w:jc w:val="left"/>
              <w:rPr>
                <w:sz w:val="4"/>
                <w:szCs w:val="4"/>
              </w:rPr>
            </w:pPr>
            <w:r>
              <w:rPr>
                <w:sz w:val="4"/>
                <w:szCs w:val="4"/>
              </w:rPr>
            </w:r>
          </w:p>
        </w:tc>
      </w:tr>
      <w:tr>
        <w:trPr/>
        <w:tc>
          <w:tcPr>
            <w:tcW w:w="4200" w:type="dxa"/>
            <w:tcBorders/>
            <w:vAlign w:val="bottom"/>
          </w:tcPr>
          <w:p>
            <w:pPr>
              <w:pStyle w:val="TableContents"/>
              <w:bidi w:val="0"/>
              <w:spacing w:before="0" w:after="283"/>
              <w:jc w:val="left"/>
              <w:rPr/>
            </w:pPr>
            <w:r>
              <w:rPr/>
              <w:t>May 15, 2026</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Hamburg</w:t>
            </w:r>
          </w:p>
        </w:tc>
        <w:tc>
          <w:tcPr>
            <w:tcW w:w="815" w:type="dxa"/>
            <w:tcBorders/>
            <w:vAlign w:val="bottom"/>
          </w:tcPr>
          <w:p>
            <w:pPr>
              <w:pStyle w:val="TableContents"/>
              <w:bidi w:val="0"/>
              <w:spacing w:before="0" w:after="283"/>
              <w:jc w:val="left"/>
              <w:rPr/>
            </w:pPr>
            <w:r>
              <w:rPr/>
              <w:t>  </w:t>
            </w:r>
          </w:p>
        </w:tc>
        <w:tc>
          <w:tcPr>
            <w:tcW w:w="1745" w:type="dxa"/>
            <w:tcBorders/>
            <w:vAlign w:val="bottom"/>
          </w:tcPr>
          <w:p>
            <w:pPr>
              <w:pStyle w:val="TableContents"/>
              <w:bidi w:val="0"/>
              <w:spacing w:before="0" w:after="283"/>
              <w:jc w:val="left"/>
              <w:rPr/>
            </w:pPr>
            <w:r>
              <w:rPr/>
              <w:t>Seoul</w:t>
            </w:r>
          </w:p>
        </w:tc>
        <w:tc>
          <w:tcPr>
            <w:tcW w:w="4015" w:type="dxa"/>
            <w:gridSpan w:val="5"/>
            <w:tcBorders/>
          </w:tcPr>
          <w:p>
            <w:pPr>
              <w:pStyle w:val="TableContents"/>
              <w:bidi w:val="0"/>
              <w:spacing w:before="0" w:after="283"/>
              <w:jc w:val="left"/>
              <w:rPr>
                <w:sz w:val="4"/>
                <w:szCs w:val="4"/>
              </w:rPr>
            </w:pPr>
            <w:r>
              <w:rPr>
                <w:sz w:val="4"/>
                <w:szCs w:val="4"/>
              </w:rPr>
            </w:r>
          </w:p>
        </w:tc>
      </w:tr>
      <w:tr>
        <w:trPr/>
        <w:tc>
          <w:tcPr>
            <w:tcW w:w="4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Hong Kong</w:t>
            </w:r>
          </w:p>
        </w:tc>
        <w:tc>
          <w:tcPr>
            <w:tcW w:w="815" w:type="dxa"/>
            <w:tcBorders/>
            <w:vAlign w:val="bottom"/>
          </w:tcPr>
          <w:p>
            <w:pPr>
              <w:pStyle w:val="TableContents"/>
              <w:bidi w:val="0"/>
              <w:spacing w:before="0" w:after="283"/>
              <w:jc w:val="left"/>
              <w:rPr/>
            </w:pPr>
            <w:r>
              <w:rPr/>
              <w:t>  </w:t>
            </w:r>
          </w:p>
        </w:tc>
        <w:tc>
          <w:tcPr>
            <w:tcW w:w="1745" w:type="dxa"/>
            <w:tcBorders/>
            <w:vAlign w:val="bottom"/>
          </w:tcPr>
          <w:p>
            <w:pPr>
              <w:pStyle w:val="TableContents"/>
              <w:bidi w:val="0"/>
              <w:spacing w:before="0" w:after="283"/>
              <w:jc w:val="left"/>
              <w:rPr/>
            </w:pPr>
            <w:r>
              <w:rPr/>
              <w:t>Silicon Valley</w:t>
            </w:r>
          </w:p>
        </w:tc>
        <w:tc>
          <w:tcPr>
            <w:tcW w:w="4015" w:type="dxa"/>
            <w:gridSpan w:val="5"/>
            <w:tcBorders/>
          </w:tcPr>
          <w:p>
            <w:pPr>
              <w:pStyle w:val="TableContents"/>
              <w:bidi w:val="0"/>
              <w:spacing w:before="0" w:after="283"/>
              <w:jc w:val="left"/>
              <w:rPr>
                <w:sz w:val="4"/>
                <w:szCs w:val="4"/>
              </w:rPr>
            </w:pPr>
            <w:r>
              <w:rPr>
                <w:sz w:val="4"/>
                <w:szCs w:val="4"/>
              </w:rPr>
            </w:r>
          </w:p>
        </w:tc>
      </w:tr>
      <w:tr>
        <w:trPr/>
        <w:tc>
          <w:tcPr>
            <w:tcW w:w="4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Houston</w:t>
            </w:r>
          </w:p>
        </w:tc>
        <w:tc>
          <w:tcPr>
            <w:tcW w:w="815" w:type="dxa"/>
            <w:tcBorders/>
            <w:vAlign w:val="bottom"/>
          </w:tcPr>
          <w:p>
            <w:pPr>
              <w:pStyle w:val="TableContents"/>
              <w:bidi w:val="0"/>
              <w:spacing w:before="0" w:after="283"/>
              <w:jc w:val="left"/>
              <w:rPr/>
            </w:pPr>
            <w:r>
              <w:rPr/>
              <w:t>  </w:t>
            </w:r>
          </w:p>
        </w:tc>
        <w:tc>
          <w:tcPr>
            <w:tcW w:w="1745" w:type="dxa"/>
            <w:tcBorders/>
            <w:vAlign w:val="bottom"/>
          </w:tcPr>
          <w:p>
            <w:pPr>
              <w:pStyle w:val="TableContents"/>
              <w:bidi w:val="0"/>
              <w:spacing w:before="0" w:after="283"/>
              <w:jc w:val="left"/>
              <w:rPr/>
            </w:pPr>
            <w:r>
              <w:rPr/>
              <w:t>Singapore</w:t>
            </w:r>
          </w:p>
        </w:tc>
        <w:tc>
          <w:tcPr>
            <w:tcW w:w="4015" w:type="dxa"/>
            <w:gridSpan w:val="5"/>
            <w:tcBorders/>
          </w:tcPr>
          <w:p>
            <w:pPr>
              <w:pStyle w:val="TableContents"/>
              <w:bidi w:val="0"/>
              <w:spacing w:before="0" w:after="283"/>
              <w:jc w:val="left"/>
              <w:rPr>
                <w:sz w:val="4"/>
                <w:szCs w:val="4"/>
              </w:rPr>
            </w:pPr>
            <w:r>
              <w:rPr>
                <w:sz w:val="4"/>
                <w:szCs w:val="4"/>
              </w:rPr>
            </w:r>
          </w:p>
        </w:tc>
      </w:tr>
      <w:tr>
        <w:trPr/>
        <w:tc>
          <w:tcPr>
            <w:tcW w:w="4200" w:type="dxa"/>
            <w:tcBorders/>
            <w:vAlign w:val="bottom"/>
          </w:tcPr>
          <w:p>
            <w:pPr>
              <w:pStyle w:val="TableContents"/>
              <w:bidi w:val="0"/>
              <w:spacing w:before="0" w:after="283"/>
              <w:jc w:val="left"/>
              <w:rPr/>
            </w:pPr>
            <w:r>
              <w:rPr/>
              <w:t>PDF Solutions, Inc.</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London</w:t>
            </w:r>
          </w:p>
        </w:tc>
        <w:tc>
          <w:tcPr>
            <w:tcW w:w="815" w:type="dxa"/>
            <w:tcBorders/>
            <w:vAlign w:val="bottom"/>
          </w:tcPr>
          <w:p>
            <w:pPr>
              <w:pStyle w:val="TableContents"/>
              <w:bidi w:val="0"/>
              <w:spacing w:before="0" w:after="283"/>
              <w:jc w:val="left"/>
              <w:rPr/>
            </w:pPr>
            <w:r>
              <w:rPr/>
              <w:t>  </w:t>
            </w:r>
          </w:p>
        </w:tc>
        <w:tc>
          <w:tcPr>
            <w:tcW w:w="1745" w:type="dxa"/>
            <w:tcBorders/>
            <w:vAlign w:val="bottom"/>
          </w:tcPr>
          <w:p>
            <w:pPr>
              <w:pStyle w:val="TableContents"/>
              <w:bidi w:val="0"/>
              <w:spacing w:before="0" w:after="283"/>
              <w:jc w:val="left"/>
              <w:rPr/>
            </w:pPr>
            <w:r>
              <w:rPr/>
              <w:t>Tel Aviv</w:t>
            </w:r>
          </w:p>
        </w:tc>
        <w:tc>
          <w:tcPr>
            <w:tcW w:w="4015" w:type="dxa"/>
            <w:gridSpan w:val="5"/>
            <w:tcBorders/>
          </w:tcPr>
          <w:p>
            <w:pPr>
              <w:pStyle w:val="TableContents"/>
              <w:bidi w:val="0"/>
              <w:spacing w:before="0" w:after="283"/>
              <w:jc w:val="left"/>
              <w:rPr>
                <w:sz w:val="4"/>
                <w:szCs w:val="4"/>
              </w:rPr>
            </w:pPr>
            <w:r>
              <w:rPr>
                <w:sz w:val="4"/>
                <w:szCs w:val="4"/>
              </w:rPr>
            </w:r>
          </w:p>
        </w:tc>
      </w:tr>
      <w:tr>
        <w:trPr/>
        <w:tc>
          <w:tcPr>
            <w:tcW w:w="4200" w:type="dxa"/>
            <w:tcBorders/>
            <w:vAlign w:val="bottom"/>
          </w:tcPr>
          <w:p>
            <w:pPr>
              <w:pStyle w:val="TableContents"/>
              <w:bidi w:val="0"/>
              <w:spacing w:before="0" w:after="283"/>
              <w:jc w:val="left"/>
              <w:rPr/>
            </w:pPr>
            <w:r>
              <w:rPr/>
              <w:t>2858 De La Cruz Boulevard</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Los Angeles</w:t>
            </w:r>
          </w:p>
        </w:tc>
        <w:tc>
          <w:tcPr>
            <w:tcW w:w="815" w:type="dxa"/>
            <w:tcBorders/>
            <w:vAlign w:val="bottom"/>
          </w:tcPr>
          <w:p>
            <w:pPr>
              <w:pStyle w:val="TableContents"/>
              <w:bidi w:val="0"/>
              <w:spacing w:before="0" w:after="283"/>
              <w:jc w:val="left"/>
              <w:rPr/>
            </w:pPr>
            <w:r>
              <w:rPr/>
              <w:t>  </w:t>
            </w:r>
          </w:p>
        </w:tc>
        <w:tc>
          <w:tcPr>
            <w:tcW w:w="1745" w:type="dxa"/>
            <w:tcBorders/>
            <w:vAlign w:val="bottom"/>
          </w:tcPr>
          <w:p>
            <w:pPr>
              <w:pStyle w:val="TableContents"/>
              <w:bidi w:val="0"/>
              <w:spacing w:before="0" w:after="283"/>
              <w:jc w:val="left"/>
              <w:rPr/>
            </w:pPr>
            <w:r>
              <w:rPr/>
              <w:t>Tokyo</w:t>
            </w:r>
          </w:p>
        </w:tc>
        <w:tc>
          <w:tcPr>
            <w:tcW w:w="4015" w:type="dxa"/>
            <w:gridSpan w:val="5"/>
            <w:tcBorders/>
          </w:tcPr>
          <w:p>
            <w:pPr>
              <w:pStyle w:val="TableContents"/>
              <w:bidi w:val="0"/>
              <w:spacing w:before="0" w:after="283"/>
              <w:jc w:val="left"/>
              <w:rPr>
                <w:sz w:val="4"/>
                <w:szCs w:val="4"/>
              </w:rPr>
            </w:pPr>
            <w:r>
              <w:rPr>
                <w:sz w:val="4"/>
                <w:szCs w:val="4"/>
              </w:rPr>
            </w:r>
          </w:p>
        </w:tc>
      </w:tr>
      <w:tr>
        <w:trPr/>
        <w:tc>
          <w:tcPr>
            <w:tcW w:w="4200" w:type="dxa"/>
            <w:tcBorders/>
            <w:vAlign w:val="bottom"/>
          </w:tcPr>
          <w:p>
            <w:pPr>
              <w:pStyle w:val="TableContents"/>
              <w:bidi w:val="0"/>
              <w:spacing w:before="0" w:after="283"/>
              <w:jc w:val="left"/>
              <w:rPr/>
            </w:pPr>
            <w:r>
              <w:rPr/>
              <w:t>Santa Clara, California 95050</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Madrid</w:t>
            </w:r>
          </w:p>
        </w:tc>
        <w:tc>
          <w:tcPr>
            <w:tcW w:w="815" w:type="dxa"/>
            <w:tcBorders/>
            <w:vAlign w:val="bottom"/>
          </w:tcPr>
          <w:p>
            <w:pPr>
              <w:pStyle w:val="TableContents"/>
              <w:bidi w:val="0"/>
              <w:spacing w:before="0" w:after="283"/>
              <w:jc w:val="left"/>
              <w:rPr/>
            </w:pPr>
            <w:r>
              <w:rPr/>
              <w:t>  </w:t>
            </w:r>
          </w:p>
        </w:tc>
        <w:tc>
          <w:tcPr>
            <w:tcW w:w="1745" w:type="dxa"/>
            <w:tcBorders/>
            <w:vAlign w:val="bottom"/>
          </w:tcPr>
          <w:p>
            <w:pPr>
              <w:pStyle w:val="TableContents"/>
              <w:bidi w:val="0"/>
              <w:spacing w:before="0" w:after="283"/>
              <w:jc w:val="left"/>
              <w:rPr/>
            </w:pPr>
            <w:r>
              <w:rPr/>
              <w:t>Washington, D.C.</w:t>
            </w:r>
          </w:p>
        </w:tc>
        <w:tc>
          <w:tcPr>
            <w:tcW w:w="4015" w:type="dxa"/>
            <w:gridSpan w:val="5"/>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Re: </w:t>
      </w:r>
      <w:r>
        <w:rPr>
          <w:rFonts w:ascii="Times New Roman" w:hAnsi="Times New Roman"/>
          <w:sz w:val="20"/>
          <w:u w:val="single"/>
        </w:rPr>
        <w:t>Registration Statement No. 333-295834; 5,253,554 shares of Common Stock, par value $0.00015 per share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To the addressee set forth above: </w:t>
      </w:r>
    </w:p>
    <w:p>
      <w:pPr>
        <w:pStyle w:val="TextBody"/>
        <w:bidi w:val="0"/>
        <w:spacing w:before="120" w:after="0"/>
        <w:jc w:val="left"/>
        <w:rPr>
          <w:rFonts w:ascii="Times New Roman" w:hAnsi="Times New Roman"/>
          <w:sz w:val="20"/>
        </w:rPr>
      </w:pPr>
      <w:r>
        <w:rPr>
          <w:rFonts w:ascii="Times New Roman" w:hAnsi="Times New Roman"/>
          <w:sz w:val="20"/>
        </w:rPr>
        <w:t>We have acted as special counsel to PDF Solutions, Inc., a Delaware corporation (the “</w:t>
      </w:r>
      <w:r>
        <w:rPr>
          <w:rFonts w:ascii="Times New Roman" w:hAnsi="Times New Roman"/>
          <w:b/>
          <w:i/>
          <w:sz w:val="20"/>
        </w:rPr>
        <w:t>Company</w:t>
      </w:r>
      <w:r>
        <w:rPr>
          <w:rFonts w:ascii="Times New Roman" w:hAnsi="Times New Roman"/>
          <w:sz w:val="20"/>
        </w:rPr>
        <w:t>”), in connection with (i) the issuance of up to 1,946,630 shares (the “</w:t>
      </w:r>
      <w:r>
        <w:rPr>
          <w:rFonts w:ascii="Times New Roman" w:hAnsi="Times New Roman"/>
          <w:b/>
          <w:i/>
          <w:sz w:val="20"/>
        </w:rPr>
        <w:t>Company Shares</w:t>
      </w:r>
      <w:r>
        <w:rPr>
          <w:rFonts w:ascii="Times New Roman" w:hAnsi="Times New Roman"/>
          <w:sz w:val="20"/>
        </w:rPr>
        <w:t>”) of the Company’s common stock, par value $0.00015 per share (the “</w:t>
      </w:r>
      <w:r>
        <w:rPr>
          <w:rFonts w:ascii="Times New Roman" w:hAnsi="Times New Roman"/>
          <w:b/>
          <w:i/>
          <w:sz w:val="20"/>
        </w:rPr>
        <w:t>Common Stock</w:t>
      </w:r>
      <w:r>
        <w:rPr>
          <w:rFonts w:ascii="Times New Roman" w:hAnsi="Times New Roman"/>
          <w:sz w:val="20"/>
        </w:rPr>
        <w:t>”), by the Company and (ii) the sale of up to 3,306,924 shares (the “</w:t>
      </w:r>
      <w:r>
        <w:rPr>
          <w:rFonts w:ascii="Times New Roman" w:hAnsi="Times New Roman"/>
          <w:b/>
          <w:i/>
          <w:sz w:val="20"/>
        </w:rPr>
        <w:t>Selling Stockholder Shares</w:t>
      </w:r>
      <w:r>
        <w:rPr>
          <w:rFonts w:ascii="Times New Roman" w:hAnsi="Times New Roman"/>
          <w:sz w:val="20"/>
        </w:rPr>
        <w:t>” and together with the Company Shares, the “</w:t>
      </w:r>
      <w:r>
        <w:rPr>
          <w:rFonts w:ascii="Times New Roman" w:hAnsi="Times New Roman"/>
          <w:b/>
          <w:i/>
          <w:sz w:val="20"/>
        </w:rPr>
        <w:t>Shares</w:t>
      </w:r>
      <w:r>
        <w:rPr>
          <w:rFonts w:ascii="Times New Roman" w:hAnsi="Times New Roman"/>
          <w:sz w:val="20"/>
        </w:rPr>
        <w:t>”) of Common Stock by the selling stockholder named in the Preliminary Prospectus (as defined below) and the Prospectus (as defined below). The Shares are included in a registration statement on Form S-3 under the Securities Act of 1933, as amended (the “</w:t>
      </w:r>
      <w:r>
        <w:rPr>
          <w:rFonts w:ascii="Times New Roman" w:hAnsi="Times New Roman"/>
          <w:b/>
          <w:i/>
          <w:sz w:val="20"/>
        </w:rPr>
        <w:t>Act</w:t>
      </w:r>
      <w:r>
        <w:rPr>
          <w:rFonts w:ascii="Times New Roman" w:hAnsi="Times New Roman"/>
          <w:sz w:val="20"/>
        </w:rPr>
        <w:t>”), filed with the Securities and Exchange Commission (the “</w:t>
      </w:r>
      <w:r>
        <w:rPr>
          <w:rFonts w:ascii="Times New Roman" w:hAnsi="Times New Roman"/>
          <w:b/>
          <w:i/>
          <w:sz w:val="20"/>
        </w:rPr>
        <w:t>Commission</w:t>
      </w:r>
      <w:r>
        <w:rPr>
          <w:rFonts w:ascii="Times New Roman" w:hAnsi="Times New Roman"/>
          <w:sz w:val="20"/>
        </w:rPr>
        <w:t>”) on May 13, 2026 (Registration No. 333-295834) (the “</w:t>
      </w:r>
      <w:r>
        <w:rPr>
          <w:rFonts w:ascii="Times New Roman" w:hAnsi="Times New Roman"/>
          <w:b/>
          <w:i/>
          <w:sz w:val="20"/>
        </w:rPr>
        <w:t>Registration Statement</w:t>
      </w:r>
      <w:r>
        <w:rPr>
          <w:rFonts w:ascii="Times New Roman" w:hAnsi="Times New Roman"/>
          <w:sz w:val="20"/>
        </w:rPr>
        <w:t>”), including a base prospectus dated May 13, 2026 (the “</w:t>
      </w:r>
      <w:r>
        <w:rPr>
          <w:rFonts w:ascii="Times New Roman" w:hAnsi="Times New Roman"/>
          <w:b/>
          <w:i/>
          <w:sz w:val="20"/>
        </w:rPr>
        <w:t>Base Prospectus</w:t>
      </w:r>
      <w:r>
        <w:rPr>
          <w:rFonts w:ascii="Times New Roman" w:hAnsi="Times New Roman"/>
          <w:sz w:val="20"/>
        </w:rPr>
        <w:t>”), a preliminary prospectus supplement dated May 13, 2026 filed with the Commission pursuant to Rule 424(b) under the Act (together with the Base Prospectus, the “</w:t>
      </w:r>
      <w:r>
        <w:rPr>
          <w:rFonts w:ascii="Times New Roman" w:hAnsi="Times New Roman"/>
          <w:b/>
          <w:i/>
          <w:sz w:val="20"/>
        </w:rPr>
        <w:t>Preliminary Prospectus</w:t>
      </w:r>
      <w:r>
        <w:rPr>
          <w:rFonts w:ascii="Times New Roman" w:hAnsi="Times New Roman"/>
          <w:sz w:val="20"/>
        </w:rPr>
        <w:t>”), and a prospectus supplement dated May 13, 2026 filed with the Commission pursuant to Rule 424(b) under the Act (together with the Base Prospectus, the “</w:t>
      </w:r>
      <w:r>
        <w:rPr>
          <w:rFonts w:ascii="Times New Roman" w:hAnsi="Times New Roman"/>
          <w:b/>
          <w:i/>
          <w:sz w:val="20"/>
        </w:rPr>
        <w:t>Prospectus</w:t>
      </w:r>
      <w:r>
        <w:rPr>
          <w:rFonts w:ascii="Times New Roman" w:hAnsi="Times New Roman"/>
          <w:sz w:val="20"/>
        </w:rPr>
        <w:t>”). The Shares are being sold pursuant to an underwriting agreement, dated May 13, 2026, among the Company, the selling stockholder named therein and Morgan Stanley &amp; Co. LLC, as representative of the several underwriters named therein (the “</w:t>
      </w:r>
      <w:r>
        <w:rPr>
          <w:rFonts w:ascii="Times New Roman" w:hAnsi="Times New Roman"/>
          <w:b/>
          <w:i/>
          <w:sz w:val="20"/>
        </w:rPr>
        <w:t>Underwriting Agreement</w:t>
      </w:r>
      <w:r>
        <w:rPr>
          <w:rFonts w:ascii="Times New Roman" w:hAnsi="Times New Roman"/>
          <w:sz w:val="20"/>
        </w:rPr>
        <w:t xml:space="preserve">”). This opinion is being furnished in connection with the requirements of Item 601(b)(5) of Regulation S-K under the Act, and no opinion is expressed herein as to any matter pertaining to the contents of the Registration Statement, the Preliminary Prospectus or related Prospectus, other than as expressly stated herein with respect to the issue of the Shares. </w:t>
      </w:r>
    </w:p>
    <w:p>
      <w:pPr>
        <w:pStyle w:val="TextBody"/>
        <w:bidi w:val="0"/>
        <w:spacing w:before="240" w:after="0"/>
        <w:jc w:val="left"/>
        <w:rPr>
          <w:rFonts w:ascii="Times New Roman" w:hAnsi="Times New Roman"/>
          <w:sz w:val="20"/>
        </w:rPr>
      </w:pPr>
      <w:r>
        <w:rPr>
          <w:rFonts w:ascii="Times New Roman" w:hAnsi="Times New Roman"/>
          <w:sz w:val="20"/>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and we express no opinion with respect to any other laws.</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and the other matters set forth herein, it is our opinion that, as of the date hereof: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2"/>
        <w:gridCol w:w="407"/>
        <w:gridCol w:w="9086"/>
      </w:tblGrid>
      <w:tr>
        <w:trPr/>
        <w:tc>
          <w:tcPr>
            <w:tcW w:w="712"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Shares have been duly authorized by all necessary corporate action of the Company, and when the Company Shares shall have been duly registered on the books of the transfer agent and registrar therefor in the name or on behalf of the purchasers and have been issued by the Company against payment therefor (not less than par value) in the circumstances contemplated by the Underwriting Agreement, the Company Shares will be validly issued, fully paid and nonassessable. In rendering the foregoing opinion, we have assumed that the Company will comply with all applicable notice requirements regarding uncertificated shares provided in the General Corporation Law of the State of Delaware.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970"/>
        <w:gridCol w:w="121"/>
        <w:gridCol w:w="3043"/>
        <w:gridCol w:w="121"/>
        <w:gridCol w:w="2950"/>
      </w:tblGrid>
      <w:tr>
        <w:trPr/>
        <w:tc>
          <w:tcPr>
            <w:tcW w:w="397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04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950" w:type="dxa"/>
            <w:tcBorders/>
            <w:vAlign w:val="center"/>
          </w:tcPr>
          <w:p>
            <w:pPr>
              <w:pStyle w:val="TableContents"/>
              <w:bidi w:val="0"/>
              <w:spacing w:before="0" w:after="283"/>
              <w:jc w:val="left"/>
              <w:rPr>
                <w:sz w:val="4"/>
                <w:szCs w:val="4"/>
              </w:rPr>
            </w:pPr>
            <w:r>
              <w:rPr>
                <w:sz w:val="4"/>
                <w:szCs w:val="4"/>
              </w:rPr>
            </w:r>
          </w:p>
        </w:tc>
      </w:tr>
      <w:tr>
        <w:trPr/>
        <w:tc>
          <w:tcPr>
            <w:tcW w:w="3970" w:type="dxa"/>
            <w:tcBorders/>
          </w:tcPr>
          <w:p>
            <w:pPr>
              <w:pStyle w:val="TableContents"/>
              <w:bidi w:val="0"/>
              <w:spacing w:before="0" w:after="0"/>
              <w:jc w:val="left"/>
              <w:rPr>
                <w:rFonts w:ascii="Times New Roman" w:hAnsi="Times New Roman"/>
                <w:b/>
                <w:sz w:val="20"/>
              </w:rPr>
            </w:pPr>
            <w:r>
              <w:rPr>
                <w:rFonts w:ascii="Times New Roman" w:hAnsi="Times New Roman"/>
                <w:b/>
                <w:sz w:val="20"/>
              </w:rPr>
              <w:t>May 13, 2026</w:t>
            </w:r>
          </w:p>
          <w:p>
            <w:pPr>
              <w:pStyle w:val="TableContents"/>
              <w:bidi w:val="0"/>
              <w:spacing w:before="0" w:after="0"/>
              <w:jc w:val="left"/>
              <w:rPr>
                <w:rFonts w:ascii="Times New Roman" w:hAnsi="Times New Roman"/>
                <w:b/>
                <w:sz w:val="20"/>
              </w:rPr>
            </w:pPr>
            <w:r>
              <w:rPr>
                <w:rFonts w:ascii="Times New Roman" w:hAnsi="Times New Roman"/>
                <w:b/>
                <w:sz w:val="20"/>
              </w:rPr>
              <w:t>Page 2</w:t>
            </w:r>
          </w:p>
          <w:p>
            <w:pPr>
              <w:pStyle w:val="TableContents"/>
              <w:bidi w:val="0"/>
              <w:spacing w:before="0" w:after="0"/>
              <w:jc w:val="left"/>
              <w:rPr/>
            </w:pPr>
            <w:r>
              <w:rPr/>
              <w:t> </w:t>
            </w:r>
          </w:p>
          <w:p>
            <w:pPr>
              <w:pStyle w:val="TableContents"/>
              <w:bidi w:val="0"/>
              <w:spacing w:before="0" w:after="20"/>
              <w:jc w:val="left"/>
              <w:rPr/>
            </w:pPr>
            <w:r>
              <w:rPr/>
              <w:drawing>
                <wp:inline distT="0" distB="0" distL="0" distR="0">
                  <wp:extent cx="1838325" cy="219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38325" cy="219075"/>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304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95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2"/>
        <w:gridCol w:w="407"/>
        <w:gridCol w:w="9086"/>
      </w:tblGrid>
      <w:tr>
        <w:trPr/>
        <w:tc>
          <w:tcPr>
            <w:tcW w:w="712"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Selling Stockholder Shares have been duly authorized by all necessary corporate action of the Company and are validly issued, fully paid and nonassessable.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opinion is for your benefit in connection with the Registration Statement and may be relied upon by you and by persons entitled to rely upon it pursuant to the applicable provisions of the Act. We consent to your filing this opinion as an exhibit to the Company’s Current Report on Form 8-K filed with the Commission on May 15, 2026 and to the reference to our firm in the Preliminary Prospectus and the Prospectus under the heading “Legal Matters.” In giving such consent, we do not thereby admit that we are in the category of persons whose consent is required under Section 7 of the Act or the rules and regulations of the Commission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Sincerely,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Latham &amp; Watkins LLP</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55</Pages>
  <Words>23393</Words>
  <Characters>122981</Characters>
  <CharactersWithSpaces>146453</CharactersWithSpaces>
  <Paragraphs>621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dc:title>
</cp:coreProperties>
</file>