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0879d424b5.htm"/>
        <w:bookmarkStart w:id="1" w:name="ksd110879d424b5"/>
        <w:bookmarkEnd w:id="0"/>
        <w:bookmarkEnd w:id="1"/>
        <w:r>
          <w:rPr>
            <w:rStyle w:val="InternetLink"/>
            <w:b/>
            <w:sz w:val="20"/>
          </w:rPr>
          <w:t>Table of Contents</w:t>
        </w:r>
      </w:hyperlink>
    </w:p>
    <w:p>
      <w:pPr>
        <w:pStyle w:val="TextBody"/>
        <w:bidi w:val="0"/>
        <w:spacing w:before="0" w:after="0"/>
        <w:jc w:val="left"/>
        <w:rPr>
          <w:rFonts w:ascii="ARIAL" w:hAnsi="ARIAL"/>
          <w:b/>
          <w:color w:val="FF4338"/>
          <w:sz w:val="20"/>
        </w:rPr>
      </w:pPr>
      <w:r>
        <w:rPr>
          <w:rFonts w:ascii="ARIAL" w:hAnsi="ARIAL"/>
          <w:b/>
          <w:color w:val="FF4338"/>
          <w:sz w:val="20"/>
        </w:rPr>
        <w:t xml:space="preserve">The information in this preliminary prospectus supplement is not complete and may be changed. This preliminary prospectus supplement and the accompanying prospectus are not an offer to sell these securities and we are not soliciting offers to buy these securities in any jurisdiction where the offer or sale is not permitted. </w:t>
      </w:r>
    </w:p>
    <w:p>
      <w:pPr>
        <w:pStyle w:val="TextBody"/>
        <w:bidi w:val="0"/>
        <w:spacing w:before="0" w:after="0"/>
        <w:ind w:left="760" w:right="760" w:hanging="0"/>
        <w:jc w:val="left"/>
        <w:rPr/>
      </w:pPr>
      <w:r>
        <w:rPr/>
        <w:t> </w:t>
      </w:r>
    </w:p>
    <w:p>
      <w:pPr>
        <w:pStyle w:val="TextBody"/>
        <w:bidi w:val="0"/>
        <w:spacing w:before="0" w:after="0"/>
        <w:ind w:left="760" w:right="760" w:hanging="0"/>
        <w:jc w:val="right"/>
        <w:rPr>
          <w:rFonts w:ascii="Times New Roman" w:hAnsi="Times New Roman"/>
          <w:b/>
          <w:sz w:val="20"/>
        </w:rPr>
      </w:pPr>
      <w:r>
        <w:rPr>
          <w:rFonts w:ascii="Times New Roman" w:hAnsi="Times New Roman"/>
          <w:b/>
          <w:sz w:val="20"/>
        </w:rPr>
        <w:t xml:space="preserve">Filed Pursuant to Rule 424(b)(5) </w:t>
        <w:br/>
        <w:t xml:space="preserve">Registration No. 333-295834 </w:t>
      </w:r>
    </w:p>
    <w:p>
      <w:pPr>
        <w:pStyle w:val="TextBody"/>
        <w:bidi w:val="0"/>
        <w:spacing w:before="0" w:after="0"/>
        <w:ind w:left="760" w:right="760" w:hanging="0"/>
        <w:jc w:val="center"/>
        <w:rPr>
          <w:rFonts w:ascii="Times New Roman" w:hAnsi="Times New Roman"/>
          <w:b/>
          <w:color w:val="FF4338"/>
          <w:sz w:val="20"/>
        </w:rPr>
      </w:pPr>
      <w:r>
        <w:rPr>
          <w:rFonts w:ascii="Times New Roman" w:hAnsi="Times New Roman"/>
          <w:b/>
          <w:color w:val="FF4338"/>
          <w:sz w:val="20"/>
        </w:rPr>
        <w:t xml:space="preserve">Subject to completion, dated May 13, 2026 </w:t>
      </w:r>
    </w:p>
    <w:p>
      <w:pPr>
        <w:pStyle w:val="TextBody"/>
        <w:bidi w:val="0"/>
        <w:spacing w:before="0" w:after="0"/>
        <w:ind w:left="760" w:right="760" w:hanging="0"/>
        <w:jc w:val="center"/>
        <w:rPr>
          <w:rFonts w:ascii="Times New Roman" w:hAnsi="Times New Roman"/>
          <w:b/>
          <w:color w:val="FF4338"/>
          <w:sz w:val="20"/>
        </w:rPr>
      </w:pPr>
      <w:r>
        <w:rPr>
          <w:rFonts w:ascii="Times New Roman" w:hAnsi="Times New Roman"/>
          <w:b/>
          <w:color w:val="FF4338"/>
          <w:sz w:val="20"/>
        </w:rPr>
        <w:t xml:space="preserve">Preliminary Prospectus Supplement to Prospectus dated May 13, 2026 </w:t>
      </w:r>
    </w:p>
    <w:p>
      <w:pPr>
        <w:pStyle w:val="TextBody"/>
        <w:bidi w:val="0"/>
        <w:spacing w:before="240" w:after="0"/>
        <w:ind w:left="760" w:right="760" w:hanging="0"/>
        <w:jc w:val="center"/>
        <w:rPr>
          <w:rFonts w:ascii="Times New Roman" w:hAnsi="Times New Roman"/>
          <w:b/>
          <w:i/>
          <w:sz w:val="36"/>
        </w:rPr>
      </w:pPr>
      <w:r>
        <w:rPr>
          <w:rFonts w:ascii="Times New Roman" w:hAnsi="Times New Roman"/>
          <w:b/>
          <w:i/>
          <w:sz w:val="36"/>
        </w:rPr>
        <w:t xml:space="preserve">3,806,924 Shares </w:t>
      </w:r>
    </w:p>
    <w:p>
      <w:pPr>
        <w:pStyle w:val="TextBody"/>
        <w:bidi w:val="0"/>
        <w:spacing w:before="0" w:after="0"/>
        <w:ind w:left="760" w:right="760" w:hanging="0"/>
        <w:jc w:val="left"/>
        <w:rPr/>
      </w:pPr>
      <w:r>
        <w:rPr/>
        <w:t> </w:t>
      </w:r>
    </w:p>
    <w:p>
      <w:pPr>
        <w:pStyle w:val="TextBody"/>
        <w:bidi w:val="0"/>
        <w:spacing w:before="0" w:after="0"/>
        <w:ind w:left="760" w:right="760" w:hanging="0"/>
        <w:jc w:val="center"/>
        <w:rPr/>
      </w:pPr>
      <w:r>
        <w:rPr/>
        <w:drawing>
          <wp:inline distT="0" distB="0" distL="0" distR="0">
            <wp:extent cx="5711825" cy="7988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1825" cy="798830"/>
                    </a:xfrm>
                    <a:prstGeom prst="rect">
                      <a:avLst/>
                    </a:prstGeom>
                  </pic:spPr>
                </pic:pic>
              </a:graphicData>
            </a:graphic>
          </wp:inline>
        </w:drawing>
      </w:r>
      <w:r>
        <w:rPr/>
        <w:t xml:space="preserve"> </w:t>
      </w:r>
    </w:p>
    <w:p>
      <w:pPr>
        <w:pStyle w:val="TextBody"/>
        <w:bidi w:val="0"/>
        <w:spacing w:before="200" w:after="0"/>
        <w:ind w:left="760" w:right="7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240" w:after="0"/>
        <w:ind w:left="760" w:right="760" w:hanging="0"/>
        <w:jc w:val="left"/>
        <w:rPr>
          <w:rFonts w:ascii="Times New Roman" w:hAnsi="Times New Roman"/>
          <w:b/>
          <w:i/>
          <w:sz w:val="20"/>
        </w:rPr>
      </w:pPr>
      <w:r>
        <w:rPr>
          <w:rFonts w:ascii="Times New Roman" w:hAnsi="Times New Roman"/>
          <w:b/>
          <w:i/>
          <w:sz w:val="20"/>
        </w:rPr>
        <w:t xml:space="preserve">We are offering 500,000 shares of our common stock and the selling stockholder identified in this prospectus supplement (the “selling stockholder”) is offering 3,306,924 shares of our common stock. We will not receive any of the proceeds from the sale of shares of our common stock by the selling stockholder. </w:t>
      </w:r>
    </w:p>
    <w:p>
      <w:pPr>
        <w:pStyle w:val="TextBody"/>
        <w:bidi w:val="0"/>
        <w:spacing w:before="240" w:after="0"/>
        <w:ind w:left="760" w:right="760" w:hanging="0"/>
        <w:jc w:val="left"/>
        <w:rPr>
          <w:rFonts w:ascii="Times New Roman" w:hAnsi="Times New Roman"/>
          <w:b/>
          <w:i/>
          <w:sz w:val="20"/>
        </w:rPr>
      </w:pPr>
      <w:r>
        <w:rPr>
          <w:rFonts w:ascii="Times New Roman" w:hAnsi="Times New Roman"/>
          <w:b/>
          <w:i/>
          <w:sz w:val="20"/>
        </w:rPr>
        <w:t xml:space="preserve">We have granted the underwriters the option to purchase up to an additional 571,038 shares of common stock at the public offering price, less underwriting discounts and commissions, within 30 days from the date of this prospectus supplement. </w:t>
      </w:r>
    </w:p>
    <w:p>
      <w:pPr>
        <w:pStyle w:val="TextBody"/>
        <w:bidi w:val="0"/>
        <w:spacing w:before="240" w:after="0"/>
        <w:ind w:left="760" w:right="760" w:hanging="0"/>
        <w:jc w:val="left"/>
        <w:rPr>
          <w:rFonts w:ascii="Times New Roman" w:hAnsi="Times New Roman"/>
          <w:b/>
          <w:i/>
          <w:sz w:val="20"/>
        </w:rPr>
      </w:pPr>
      <w:r>
        <w:rPr>
          <w:rFonts w:ascii="Times New Roman" w:hAnsi="Times New Roman"/>
          <w:b/>
          <w:i/>
          <w:sz w:val="20"/>
        </w:rPr>
        <w:t xml:space="preserve">Our common stock is listed on the Nasdaq Global Select Market (the “Nasdaq”) under the symbol “PDFS.” On May 12, 2026, the last reported sale price of our common stock on Nasdaq was $50.95 per share.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240" w:after="0"/>
        <w:ind w:left="760" w:right="760" w:hanging="0"/>
        <w:jc w:val="left"/>
        <w:rPr/>
      </w:pPr>
      <w:r>
        <w:rPr>
          <w:rFonts w:ascii="Times New Roman" w:hAnsi="Times New Roman"/>
          <w:b/>
          <w:i/>
          <w:sz w:val="24"/>
        </w:rPr>
        <w:t>Investing in our common stock involves risks. See “</w:t>
      </w:r>
      <w:hyperlink w:anchor="supptx110879_7">
        <w:r>
          <w:rPr>
            <w:rStyle w:val="InternetLink"/>
            <w:rFonts w:ascii="Times New Roman" w:hAnsi="Times New Roman"/>
            <w:b/>
            <w:i/>
            <w:sz w:val="24"/>
          </w:rPr>
          <w:t>Risk Factors</w:t>
        </w:r>
      </w:hyperlink>
      <w:r>
        <w:rPr>
          <w:rFonts w:ascii="Times New Roman" w:hAnsi="Times New Roman"/>
          <w:b/>
          <w:i/>
          <w:sz w:val="24"/>
        </w:rPr>
        <w:t>” beginning on page S-20 of this prospectus supplement and page S-4 of the accompanying prospectus, as well as the documents incorporated by reference in this prospectus supplement, before making a decision to invest in our common stock.</w:t>
      </w:r>
    </w:p>
    <w:p>
      <w:pPr>
        <w:pStyle w:val="TextBody"/>
        <w:bidi w:val="0"/>
        <w:spacing w:before="240" w:after="0"/>
        <w:ind w:left="760" w:right="760" w:hanging="0"/>
        <w:jc w:val="left"/>
        <w:rPr>
          <w:rFonts w:ascii="Times New Roman" w:hAnsi="Times New Roman"/>
          <w:b/>
          <w:i/>
          <w:sz w:val="20"/>
        </w:rPr>
      </w:pPr>
      <w:r>
        <w:rPr>
          <w:rFonts w:ascii="Times New Roman" w:hAnsi="Times New Roman"/>
          <w:b/>
          <w:i/>
          <w:sz w:val="20"/>
        </w:rPr>
        <w:t xml:space="preserve">Neither the Securities and Exchange Commission nor any state securities commission has approved or disapproved of these securities or passed upon the adequacy or accuracy of this prospectus supplement and accompanying prospectus. Any representation to the contrary is a criminal offense. </w:t>
      </w:r>
    </w:p>
    <w:p>
      <w:pPr>
        <w:pStyle w:val="TextBody"/>
        <w:bidi w:val="0"/>
        <w:spacing w:before="0" w:after="0"/>
        <w:ind w:left="760" w:right="760" w:hanging="0"/>
        <w:jc w:val="left"/>
        <w:rPr/>
      </w:pPr>
      <w:r>
        <w:rPr/>
        <w:t> </w:t>
      </w:r>
    </w:p>
    <w:tbl>
      <w:tblPr>
        <w:tblW w:w="3800" w:type="pct"/>
        <w:jc w:val="center"/>
        <w:tblInd w:w="0" w:type="dxa"/>
        <w:tblLayout w:type="fixed"/>
        <w:tblCellMar>
          <w:top w:w="0" w:type="dxa"/>
          <w:left w:w="0" w:type="dxa"/>
          <w:bottom w:w="0" w:type="dxa"/>
          <w:right w:w="0" w:type="dxa"/>
        </w:tblCellMar>
      </w:tblPr>
      <w:tblGrid>
        <w:gridCol w:w="4547"/>
        <w:gridCol w:w="401"/>
        <w:gridCol w:w="166"/>
        <w:gridCol w:w="965"/>
        <w:gridCol w:w="70"/>
        <w:gridCol w:w="402"/>
        <w:gridCol w:w="165"/>
        <w:gridCol w:w="965"/>
        <w:gridCol w:w="74"/>
      </w:tblGrid>
      <w:tr>
        <w:trPr/>
        <w:tc>
          <w:tcPr>
            <w:tcW w:w="4547"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r>
      <w:tr>
        <w:trPr/>
        <w:tc>
          <w:tcPr>
            <w:tcW w:w="4547"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7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4" w:type="dxa"/>
            <w:tcBorders/>
            <w:vAlign w:val="bottom"/>
          </w:tcPr>
          <w:p>
            <w:pPr>
              <w:pStyle w:val="TableContents"/>
              <w:bidi w:val="0"/>
              <w:spacing w:before="0" w:after="283"/>
              <w:jc w:val="left"/>
              <w:rPr/>
            </w:pPr>
            <w:r>
              <w:rPr/>
              <w:t> </w:t>
            </w:r>
          </w:p>
        </w:tc>
      </w:tr>
      <w:tr>
        <w:trPr/>
        <w:tc>
          <w:tcPr>
            <w:tcW w:w="4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40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r>
      <w:tr>
        <w:trPr/>
        <w:tc>
          <w:tcPr>
            <w:tcW w:w="4547"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(1)</w:t>
            </w:r>
          </w:p>
        </w:tc>
        <w:tc>
          <w:tcPr>
            <w:tcW w:w="40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r>
      <w:tr>
        <w:trPr/>
        <w:tc>
          <w:tcPr>
            <w:tcW w:w="4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offering expenses, to us</w:t>
            </w:r>
          </w:p>
        </w:tc>
        <w:tc>
          <w:tcPr>
            <w:tcW w:w="40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r>
      <w:tr>
        <w:trPr/>
        <w:tc>
          <w:tcPr>
            <w:tcW w:w="4547" w:type="dxa"/>
            <w:tcBorders/>
          </w:tcPr>
          <w:p>
            <w:pPr>
              <w:pStyle w:val="TableContents"/>
              <w:bidi w:val="0"/>
              <w:spacing w:before="0" w:after="0"/>
              <w:jc w:val="left"/>
              <w:rPr>
                <w:rFonts w:ascii="Times New Roman" w:hAnsi="Times New Roman"/>
                <w:sz w:val="20"/>
              </w:rPr>
            </w:pPr>
            <w:r>
              <w:rPr>
                <w:rFonts w:ascii="Times New Roman" w:hAnsi="Times New Roman"/>
                <w:sz w:val="20"/>
              </w:rPr>
              <w:t>Proceeds, before offering expenses, to the selling stockholder</w:t>
            </w:r>
          </w:p>
        </w:tc>
        <w:tc>
          <w:tcPr>
            <w:tcW w:w="40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r>
    </w:tbl>
    <w:p>
      <w:pPr>
        <w:pStyle w:val="TextBody"/>
        <w:bidi w:val="0"/>
        <w:spacing w:lineRule="atLeast" w:line="160" w:before="0" w:after="40"/>
        <w:ind w:left="760" w:right="760" w:hanging="0"/>
        <w:jc w:val="left"/>
        <w:rPr>
          <w:bdr w:val="single" w:sz="2" w:space="1" w:color="000000"/>
        </w:rPr>
      </w:pPr>
      <w:r>
        <w:rPr>
          <w:bdr w:val="single" w:sz="2" w:space="1" w:color="000000"/>
        </w:rPr>
        <w:t> </w:t>
      </w:r>
    </w:p>
    <w:tbl>
      <w:tblPr>
        <w:tblW w:w="5000" w:type="pct"/>
        <w:jc w:val="left"/>
        <w:tblInd w:w="7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the section titled “Underwriting (Conflict of Interest)” for additional information regarding compensation payable to the underwriters. </w:t>
            </w:r>
          </w:p>
        </w:tc>
      </w:tr>
    </w:tbl>
    <w:p>
      <w:pPr>
        <w:pStyle w:val="TextBody"/>
        <w:bidi w:val="0"/>
        <w:spacing w:before="240" w:after="0"/>
        <w:ind w:left="760" w:right="760" w:hanging="0"/>
        <w:jc w:val="left"/>
        <w:rPr>
          <w:rFonts w:ascii="Times New Roman" w:hAnsi="Times New Roman"/>
          <w:b/>
          <w:i/>
          <w:sz w:val="20"/>
        </w:rPr>
      </w:pPr>
      <w:r>
        <w:rPr>
          <w:rFonts w:ascii="Times New Roman" w:hAnsi="Times New Roman"/>
          <w:b/>
          <w:i/>
          <w:sz w:val="20"/>
        </w:rPr>
        <w:t xml:space="preserve">The underwriters expect to deliver the shares of common stock to purchasers on or about May   , 2026.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0" w:after="0"/>
        <w:ind w:left="760" w:right="760" w:hanging="0"/>
        <w:jc w:val="left"/>
        <w:rPr/>
      </w:pPr>
      <w:r>
        <w:rPr/>
        <w:t> </w:t>
      </w:r>
    </w:p>
    <w:tbl>
      <w:tblPr>
        <w:tblW w:w="5000" w:type="pct"/>
        <w:jc w:val="left"/>
        <w:tblInd w:w="76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i/>
              </w:rPr>
            </w:pPr>
            <w:r>
              <w:rPr>
                <w:b/>
                <w:i/>
              </w:rPr>
              <w:t>Morgan Stanley</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i/>
              </w:rPr>
            </w:pPr>
            <w:r>
              <w:rPr>
                <w:b/>
                <w:i/>
              </w:rPr>
              <w:t>Wells Fargo Securities</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i/>
              </w:rPr>
            </w:pPr>
            <w:r>
              <w:rPr>
                <w:b/>
                <w:i/>
              </w:rPr>
              <w:t>Societe Generale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i/>
              </w:rPr>
            </w:pPr>
            <w:r>
              <w:rPr>
                <w:b/>
                <w:i/>
              </w:rPr>
              <w:t>Needham &amp; Company</w:t>
            </w:r>
          </w:p>
        </w:tc>
      </w:tr>
    </w:tbl>
    <w:p>
      <w:pPr>
        <w:pStyle w:val="TextBody"/>
        <w:bidi w:val="0"/>
        <w:spacing w:before="240" w:after="0"/>
        <w:ind w:left="760" w:right="760" w:hanging="0"/>
        <w:jc w:val="center"/>
        <w:rPr>
          <w:rFonts w:ascii="Times New Roman" w:hAnsi="Times New Roman"/>
          <w:b/>
          <w:i/>
          <w:sz w:val="20"/>
        </w:rPr>
      </w:pPr>
      <w:r>
        <w:rPr>
          <w:rFonts w:ascii="Times New Roman" w:hAnsi="Times New Roman"/>
          <w:b/>
          <w:i/>
          <w:sz w:val="20"/>
        </w:rPr>
        <w:t xml:space="preserve">Prospectus Supplement dated May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2">
              <w:r>
                <w:rPr>
                  <w:rStyle w:val="InternetLink"/>
                  <w:rFonts w:ascii="Times New Roman" w:hAnsi="Times New Roman"/>
                  <w:sz w:val="20"/>
                </w:rPr>
                <w:t>NON-GAAP FINANCIAL MEASURES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3">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4">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5">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6">
              <w:r>
                <w:rPr>
                  <w:rStyle w:val="InternetLink"/>
                  <w:rFonts w:ascii="Times New Roman" w:hAnsi="Times New Roman"/>
                  <w:sz w:val="20"/>
                </w:rPr>
                <w:t>SUMMARY HISTORICAL CONSOLIDATED FINANCIAL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7">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8">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9">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10">
              <w:r>
                <w:rPr>
                  <w:rStyle w:val="InternetLink"/>
                  <w:rFonts w:ascii="Times New Roman" w:hAnsi="Times New Roman"/>
                  <w:sz w:val="20"/>
                </w:rPr>
                <w:t>SELLING STOCKHOLDER</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11">
              <w:r>
                <w:rPr>
                  <w:rStyle w:val="InternetLink"/>
                  <w:rFonts w:ascii="Times New Roman" w:hAnsi="Times New Roman"/>
                  <w:sz w:val="20"/>
                </w:rPr>
                <w:t>MATERIAL U.S. FEDERAL INCOME TAX CONSEQUENCES TO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12">
              <w:r>
                <w:rPr>
                  <w:rStyle w:val="InternetLink"/>
                  <w:rFonts w:ascii="Times New Roman" w:hAnsi="Times New Roman"/>
                  <w:sz w:val="20"/>
                </w:rPr>
                <w:t>UNDERWRITING (CONFLICT OF INTEREST)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13">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14">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15">
              <w:r>
                <w:rPr>
                  <w:rStyle w:val="InternetLink"/>
                  <w:rFonts w:ascii="Times New Roman" w:hAnsi="Times New Roman"/>
                  <w:sz w:val="20"/>
                </w:rPr>
                <w:t>WHERE YOU CAN FIND MORE INFORMATION; 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bookmarkStart w:id="3" w:name="toc1"/>
      <w:bookmarkEnd w:id="3"/>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110879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2">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3">
              <w:r>
                <w:rPr>
                  <w:rStyle w:val="InternetLink"/>
                  <w:rFonts w:ascii="Times New Roman" w:hAnsi="Times New Roman"/>
                  <w:sz w:val="20"/>
                </w:rPr>
                <w:t>WHERE YOU CAN FIND MORE INFORMATION; 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8">
              <w:r>
                <w:rPr>
                  <w:rStyle w:val="InternetLink"/>
                  <w:rFonts w:ascii="Times New Roman" w:hAnsi="Times New Roman"/>
                  <w:sz w:val="20"/>
                </w:rPr>
                <w:t>SELLING SECURITYHOLDERS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9">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1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11">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the selling stockholder and the underwriters have not authorized anyone to provide any information or to make any representations other than those contained in this prospectus supplement or in any free writing prospectuses we have prepared or that have been prepared on our behalf or to which we have referred you. We, the selling stockholder and the underwriters take no responsibility for, and can provide no assurance as to the reliability of, any other information that others may give you. We, the selling stockholder and the underwriters are offering to sell, and seeking offers to buy, shares of common stock only in jurisdictions where offers and sales are permitted. The information contained in this prospectus supplement is accurate only as of the date of this prospectus supplement, regardless of the time of delivery of this prospectus supplement or of any sale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the United States: We, the selling stockholder and the underwriters have not done anything that would permit this offering or possession or distribution of this prospectus supplement in any jurisdiction where action for that purpose is required, other than in the United States. Persons outside of the United States who come into possession of this prospectus supplement must inform themselves about, and observe any restrictions relating to, the offering of the shares of common stock and the distribution of this prospectus supplement outside of the United States.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110879_1"/>
      <w:bookmarkEnd w:id="4"/>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supplement and the accompanying prospectus, the terms “PDF Solutions,” “PDF,” the “Company,” “we,” “us” and “our” refer to PDF Solutions, Inc., and its consolidated subsidiaries,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of shares of common stock and also adds to and updates information contained in the accompanying prospectus and the documents incorporated by reference into this prospectus supplement and the accompanying prospectus. The second part is the accompanying prospectus, which gives more general information, some of which may not apply to this offering of shares of common stock. Generally, when we refer to this prospectus supplement, we are referring to both parts of this document combined. In this prospectus supplement, as permitted by law, we “incorporate by reference” information from other documents that we file with the Securities and Exchange Commission (the “SEC”). This means that we can disclose important information to you by referring you to those documents.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the SEC, the information included or incorporated by reference in this prospectus supplement is considered to be automatically updated and superseded. In other words, in case of a conflict or inconsistency between information contained in this prospectus supplement and information in the accompanying prospectus or incorporated by reference into this prospectus supplement, you should rely on the information contained in the document that was filed later.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consider any information in this prospectus supplement or the accompanying prospectus to be investment, legal or tax advice. You should consult your own counsel, accountants and other advisors for legal, tax, business, financial and related advice regarding the purchase of the common stock offered by this prospectus supplement. If the information varies between this prospectus supplement and the accompanying prospectus, the information in this prospectus supplement will apply and will supersede the information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Cimetrix, CV, DirectScan, Exensio, PDF Solutions, Sapience, secureWISE, and logos for the same, are trademarks or registered trademarks of PDF Solutions, Inc. or its subsidiaries. All other trademarks, trade names and service marks appearing in this prospectus supplement or the accompanying prospectus are the property of their respective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110879_2"/>
      <w:bookmarkEnd w:id="5"/>
      <w:r>
        <w:rPr>
          <w:rFonts w:ascii="Times New Roman" w:hAnsi="Times New Roman"/>
          <w:b/>
          <w:sz w:val="20"/>
        </w:rPr>
        <w:t xml:space="preserve">NON-GAAP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providing results that are determined in accordance with accounting principles generally accepted in the United States of America (“GAAP”), PDF Solutions also provides certain non-GAAP financial measures. Non-GAAP gross profit and margin exclude stock-based compensation expense and the amortization of acquired technology under costs of revenues. Non-GAAP costs of revenues exclude stock-based compensation expense and the amortization of acquired technology under costs of revenues. Non-GAAP research and development expenses exclude stock-based compensation expense and write-down in value of property and equipment. Non-GAAP selling, general and administrative expenses exclude stock-based compensation expense, the effects of certain non-recurring items, such as expenses for certain legal proceedings, and acquisition-related and integration costs, and write-down in value of property and equipment. Non-GAAP operating income (loss) and margin exclude stock-based compensation expense, amortization of acquired intangible assets, the effects of certain non-recurring items, such as expenses for certain legal proceedings, and acquisition-related and integration costs and write-down in value of property and equipment. Non-GAAP net income (loss) and Non-GAAP net income (loss) per diluted share exclude stock-based compensation expense, amortization of acquired intangible assets, amortization of debt issuance costs and the effects of certain non-recurring items, such as expenses for certain legal proceedings, acquisition-related and integration costs, loss on damaged equipment in-transit, write-down in value of property and equipment, recovery from previously written-off property and equipment, and their related income tax effects, as applicable, as well as adjustments for the valuation allowance for deferred tax assets and reconciling items and tax impact of the Coronavirus Aid, Relief, and Economic Security Act (the “CARES Act”) enacted in March 2020. </w:t>
      </w:r>
    </w:p>
    <w:p>
      <w:pPr>
        <w:pStyle w:val="TextBody"/>
        <w:bidi w:val="0"/>
        <w:spacing w:before="240" w:after="0"/>
        <w:jc w:val="left"/>
        <w:rPr>
          <w:rFonts w:ascii="Times New Roman" w:hAnsi="Times New Roman"/>
          <w:sz w:val="20"/>
        </w:rPr>
      </w:pPr>
      <w:r>
        <w:rPr>
          <w:rFonts w:ascii="Times New Roman" w:hAnsi="Times New Roman"/>
          <w:sz w:val="20"/>
        </w:rPr>
        <w:t xml:space="preserve">Non-GAAP financial measures are used by management internally to measure the Company’s profitability and performance. PDF Solutions’ management believes that these non-GAAP measures provide useful supplemental information to investors regarding the Company’s ongoing operations in light of the fact that none of these categories of expense and income has a current effect on the future uses of cash (with the exception of expenses related to certain legal proceedings and acquisition-related and integration costs) nor do they impact the generation of current or future revenues. These non-GAAP results should not be considered an alternative to, or a substitute for, GAAP financial information, and may differ from similarly titled non-GAAP measures used by other companies. In particular, these non-GAAP financial measures are not a substitute for GAAP measures of income or loss as a measure of performance, or to cash flows from operating, investing and financing activities as a measure of liquidity. Since management uses these non-GAAP financial measures internally to measure profitability and performance, PDF Solutions has included these non-GAAP measures to give investors an opportunity to see the Company’s financial results as viewed by management. </w:t>
      </w:r>
    </w:p>
    <w:p>
      <w:pPr>
        <w:pStyle w:val="TextBody"/>
        <w:bidi w:val="0"/>
        <w:spacing w:before="240" w:after="0"/>
        <w:jc w:val="left"/>
        <w:rPr>
          <w:rFonts w:ascii="Times New Roman" w:hAnsi="Times New Roman"/>
          <w:sz w:val="20"/>
        </w:rPr>
      </w:pPr>
      <w:r>
        <w:rPr>
          <w:rFonts w:ascii="Times New Roman" w:hAnsi="Times New Roman"/>
          <w:sz w:val="20"/>
        </w:rPr>
        <w:t xml:space="preserve">For reconciliation of the comparable GAAP financial measures to the non-GAAP financial measures, see “Summary Historical Consolidated Financial Information”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110879_3"/>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documents incorporated or deemed to be incorporated by reference into this prospectus supplement and the accompanying prospectus, contain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plans, strategies and prospects, both business and financial, including our possible or assumed future actions, opportunities for growth and margin expansion, addressable market opportunity, improvements to our balance sheet and leverage, capital expenditures, consumer demand, industry and economic trends, business strategies, events or results of operations. These statements may be preceded by, followed by or otherwise include the words “could,” “expects,” “intends,” “may,” “plans,” “potential,” “should,” “will,” “would,” or similar expressions and the negatives of those terms. In addition, any statements or information that refer to expectations, beliefs, plans, projections, objectives, performance or other characterizations of future events or circumstances, including any underlying assumptions, are forward-looking. </w:t>
      </w:r>
    </w:p>
    <w:p>
      <w:pPr>
        <w:pStyle w:val="TextBody"/>
        <w:bidi w:val="0"/>
        <w:spacing w:before="240" w:after="0"/>
        <w:jc w:val="left"/>
        <w:rPr/>
      </w:pPr>
      <w:r>
        <w:rPr>
          <w:rFonts w:ascii="Times New Roman" w:hAnsi="Times New Roman"/>
          <w:sz w:val="20"/>
        </w:rPr>
        <w:t xml:space="preserve">The forward-looking statements contained in this prospectus supplement and the accompanying prospectus are based on management’s current beliefs and assumptions and are not guarantees of future performance. The forward-looking statements are subject to future events, circumstances, uncertainties, and risks that could cause results to differ materially, including risks associated with: the effectiveness of the Company’s business and technology strategies; semiconductor industry trends and competition; rates of adoption of the Company’s solutions by new and existing customers; project milestones or delays and performance criteria achieved; cost and schedule of new product development and investments in research and development; the continuing impact of macroeconomic conditions, including inflation, changing interest rates and tariffs, the evolving trade regulatory environment and geopolitical tensions, and other trends impacting the semiconductor industry, the Company’s customers, operations, and supply and demand for its products; supply chain disruptions; changes in laws and regulations, including recent tax and data privacy laws and regulations, or the interpretation or enforcement thereof; the success of the Company’s strategic growth opportunities and partnerships; recent and future acquisitions, strategic alliances and relationships and the Company’s ability to successfully integrate acquired businesses and technologies; whether the Company can successfully convert backlog into revenue; customers’ production volumes under contracts that provide Gainshare; the sufficiency of the Company’s cash resources and anticipated funds from operations; the Company’s ability to obtain additional financing if needed; the Company’s ability to use support and updates for certain open-source software; and other risks and uncertainties, including the risks detailed under “Risk Factors” in our </w:t>
      </w:r>
      <w:hyperlink r:id="rId3">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with the SEC, and as such risk factors may be updated from time to time in our periodic filings with the SEC, which filings are incorporated or deemed to be incorporated by reference into this prospectus supplement and the accompanying prospectus and are accessible on the SEC’s website at www.sec.gov. Since it is not possible to foresee all such factors, these factors should not be considered as complete or exhaustive. Consequently, we caution investors not to place undue reliance on any forward-looking statements, as no forward-looking statement can be guaranteed, and actual results may vary materially.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made by us in this prospectus supplement and the accompanying prospectus speak only as of the date of this prospectus supplement and the accompanying prospectus and are expressly qualified in their entirety by the cautionary statements included in this prospectus supplement and the accompanying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Except as required by law, we do not have any obligation to update or revise, or to publicly announce any update or revision to, any of the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supptx110879_4"/>
      <w:bookmarkEnd w:id="7"/>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information contained elsewhere or incorporated by reference in this prospectus supplement or the accompanying prospectus. This summary may not contain all of the information that may be important to you. You should read the entire prospectus supplement and the accompanying prospectus carefully before you decide to invest in our common stock. This prospectus supplement contains forward-looking statements, which involve risks and uncertainties. Our actual results could differ materially from those anticipated in such forward-looking statements as a result of certain factors, including those discussed in the “Risk Factors” and other sections of this prospectus supplement.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Business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comprehensive data solutions designed to empower organizations across the semiconductor and electronics ecosystems to improve the yield and quality of their products and operational efficiency for increased profitability. We derive revenues from two categories, Platform and Volume-based fees. Our offerings that contribute to Platform revenue are licenses for software (other than Cimetrix runtime licenses) and related software maintenance and technical support services; software-as-a-service (SaaS); engineering services; fixed fees associated with Characterization Vehicle systems; and licenses and purchase contracts for DirectScan systems (formerly known as DFI systems). Volume-based revenue is derived from Cimetrix runtime licenses, secureWISE data, and variable/royalty fees associated with CV systems (sometimes referred to as Gainshare). We are headquartered in Santa Clara, California, and operate worldwide with additional offices in the United States of America, Canada, China, France, Germany, Italy, Japan, South Korea, and Taiwan.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decades, due to the challenge of timely managing very large amounts of data, manufacturing analytics often functioned as an overlay in the semiconductor industry: though powerful, it was disconnected from direct execution. We are reframing analytics as infrastructure: a shared data backbone that spans characterization, process development, high-volume manufacturing, test, and assembly. We believe that this distinction is critical as data volumes explode and process interactions become increasingly nonlinear. By seeking to standardize how data is ingested, contextualized, and analyzed across domains, the PDF Solutions Platform is designed to reduce reliance on custom integrations and tribal knowledge. The result is intended to be not simply better visibility, but a common analytical language that enables faster root-cause analysis, more consistent decision-making, and shared accountability across teams and partners. Additionally, we believe that valuable, trusted, production-ready applications of artificial intelligence (“AI”) in an industrial context need to be anchored on that type of robust, scalable, and secure data platform. Our aim is for the PDF Solutions Platform to enable the scaling of AI across the semiconductor ecosystem.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IDC Semiconductor Market Forecast as of April 2026 estimates that the semiconductor industry represents a projected $1 trillion revenue market, with forecasted growth from $556 billion in 2023 to $1.687 trillion in 2029. We estimate that manufacturing costs represent $400 - $500 billion of this market and that tools are operating at approximately 60%-80% efficiency. We believe that our products could create $140 billion in value in this market. Our specific total addressable market opportunity within the semiconductor industry is estimated to be $5.3 billion as of 2030 based on internal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8" w:name="supptx110879_5"/>
      <w:bookmarkEnd w:id="8"/>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us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500,000 shares of common stock, $0.00015 par value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the selling stockholder </w:t>
            </w:r>
          </w:p>
        </w:tc>
        <w:tc>
          <w:tcPr>
            <w:tcW w:w="6329" w:type="dxa"/>
            <w:tcBorders/>
          </w:tcPr>
          <w:p>
            <w:pPr>
              <w:pStyle w:val="TableContents"/>
              <w:bidi w:val="0"/>
              <w:spacing w:before="0" w:after="283"/>
              <w:jc w:val="left"/>
              <w:rPr/>
            </w:pPr>
            <w:r>
              <w:rPr/>
              <w:t xml:space="preserve">3,306,924 shares of common stock, $0.00015 par value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to be outstanding after this offering </w:t>
            </w:r>
          </w:p>
        </w:tc>
        <w:tc>
          <w:tcPr>
            <w:tcW w:w="6328" w:type="dxa"/>
            <w:tcBorders/>
          </w:tcPr>
          <w:p>
            <w:pPr>
              <w:pStyle w:val="TableContents"/>
              <w:bidi w:val="0"/>
              <w:spacing w:before="0" w:after="283"/>
              <w:jc w:val="left"/>
              <w:rPr/>
            </w:pPr>
            <w:r>
              <w:rPr/>
              <w:t xml:space="preserve">40,410,993 shares (or 40,982,031 shares if the underwriters’ option to purchase additional shares of common stock from us is exercised in full).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Option to purchase additional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shares of common stock</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underwriters have the option to purchase up to 571,038 additional shares of common stock from us at the public offering price less underwriting discounts and commissions, within 30 days from the date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estimate that the net proceeds that we will receive from the sale of shares of our common stock in this offering will be approximately $    million (or approximately $    million if the underwriters exercise their option to purchase additional shares in full), after deducting underwriting discounts and commissions and estimated offering expenses payable by us. The selling stockholder will be responsible for all reasonable, documented, out-of-pocket costs and expenses with respect to this offering. We will not receive any of the proceeds from the sale of shares of our common stock by the selling stockholder in this offering. We currently intend to use the net proceeds to us from this offering for general corporate purposes, which may include repayment of indebtedness. We will have broad discretion over the uses of the net proceeds from this offering. Pending these uses, we intend to invest the net proceeds from this offering in investment-grade interest-bearing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Conflict of Interest</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Because an affiliate of Wells Fargo Securities, LLC is the administrative agent under our Credit Agreement and may receive at least 5% of the net proceeds of this offering, Wells Fargo Securities, LLC could be deemed to have a “conflict of interest” under FINRA Rule 5121. Accordingly, this offering will be made in compliance with the applicable provisions of Rule 5121. The appointment of a “qualified independent underwriter” is not required in connection with this offering because a “bona fide public market,” as defined in Rule 5121, exists for our common stock. In accordance with Rule 5121, none of the underwriters having a “conflict of interest” will confirm sales to discretionary accounts without the prior specific written consent of the account holder.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4"/>
        <w:gridCol w:w="6331"/>
      </w:tblGrid>
      <w:tr>
        <w:trPr/>
        <w:tc>
          <w:tcPr>
            <w:tcW w:w="3874"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3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the section titled “Risk Factors” and the other information included or incorporated by reference in this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and the accompanying prospectus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Nasdaq Symbol</w:t>
            </w:r>
            <w:r>
              <w:rPr>
                <w:rFonts w:ascii="Times New Roman" w:hAnsi="Times New Roman"/>
                <w:sz w:val="20"/>
              </w:rPr>
              <w:t xml:space="preserve"> </w:t>
            </w:r>
          </w:p>
        </w:tc>
        <w:tc>
          <w:tcPr>
            <w:tcW w:w="6328" w:type="dxa"/>
            <w:tcBorders/>
          </w:tcPr>
          <w:p>
            <w:pPr>
              <w:pStyle w:val="TableContents"/>
              <w:bidi w:val="0"/>
              <w:spacing w:before="0" w:after="283"/>
              <w:jc w:val="left"/>
              <w:rPr/>
            </w:pPr>
            <w:r>
              <w:rPr/>
              <w:t>“</w:t>
            </w:r>
            <w:r>
              <w:rPr/>
              <w:t xml:space="preserve">PDFS”.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total number of shares of our common stock outstanding after this offering is based on 39,910,993 shares of our common stock outstanding as of March 31,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16,302 shares of common stock issuable upon the exercise of options outstanding under our Tenth Amended and Restated 2011 Stock Incentive Plan (the “2011 Plan”) with a weighted average exercise price of $17.01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1,628,824 shares of common stock issuable upon the vesting of restricted stock units outstanding under the 2011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3,200,593 shares of common stock reserved for issuance under the 2011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523,886 shares of common stock reserved for issuance under our Second Amended and Restated 2021 Employee Stock Purchase Plan (the “ESPP”).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stated, information in this prospectus supplement (except for the historical financial statements)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exercises of options outstanding as of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vesting of restricted stock units outstanding as of March 31,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by the underwriters of their option to purchase up to an additional 571,038 shares of common stock from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9" w:name="supptx110879_6"/>
      <w:bookmarkEnd w:id="9"/>
      <w:r>
        <w:rPr>
          <w:rFonts w:ascii="Times New Roman" w:hAnsi="Times New Roman"/>
          <w:b/>
          <w:sz w:val="20"/>
          <w:bdr w:val="single" w:sz="8" w:space="1" w:color="000000"/>
        </w:rPr>
        <w:t xml:space="preserve">SUMMARY HISTORICAL CONSOLIDATED FINANCIAL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shows (i) summary historical audited consolidated financial statements for the fiscal years ended December 31, 2025, 2024, and 2023 and (ii) summary historical consolidated financial statements derived from our unaudited interim condensed consolidated financial statements for the three months ended March 31, 2026 and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summary historical consolidated statements of operations and comprehensive income (loss) and cash flows data presented below for the years ended December 31, 2025, 2024, and 2023 and the balance sheet data as of December 31, 2025 and 2024 have been derived from, and should be read together with, our audited consolidated historical financial statements and the accompanying notes incorporated by reference into this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summary historical consolidated balance sheet data as of March 31, 2026 and the summary historical consolidated statements of operations and comprehensive income (loss) and cash flows data for the three months ended March 31, 2026 and 2025 have been derived from, and should be read together with, our unaudited interim condensed consolidated financial statements and the accompanying notes incorporated by reference into this prospectus supplement. The unaudited interim condensed consolidated financial statements have been prepared on the same basis as the audited consolidated financial statements and, in the opinion of our management, include all adjustments, consisting only of normal and recurring adjustments, necessary for a fair presentation of the information set forth herein. Interim financial results are not necessarily indicative of results that may be expected for the full fiscal year or any future reporting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historical revenue data presented below for the twelve months ended March 31, 2026 has been derived by subtracting revenue for the three months ended March 31, 2025 from revenue for the year ended December 31, 2025 and adding revenue for the three months ended March 31, 2026. The historical revenue data for the years ended December 31, 2015 through 2022 has been derived from our audited consolidated financial statements for those years, which are not incorporated by reference into this prospectus supplement. The historical revenue data is presented for illustrative purposes only and is not necessarily indicative of future results.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summary consolidated financial data in this section are not intended to replace the consolidated financial statements and are qualified in their entirety by the consolidated financial statements and related notes, which are incorporated by reference into this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historical results are not necessarily indicative of results to be expected in future periods, and our interim results are not necessarily indicative of results to be expected for the full fiscal year or any other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CONSOLIDATED BALANCE SHEETS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except par values)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918"/>
        <w:gridCol w:w="171"/>
        <w:gridCol w:w="161"/>
        <w:gridCol w:w="1106"/>
        <w:gridCol w:w="155"/>
        <w:gridCol w:w="171"/>
        <w:gridCol w:w="140"/>
        <w:gridCol w:w="878"/>
        <w:gridCol w:w="155"/>
        <w:gridCol w:w="171"/>
        <w:gridCol w:w="140"/>
        <w:gridCol w:w="878"/>
        <w:gridCol w:w="161"/>
      </w:tblGrid>
      <w:tr>
        <w:trPr/>
        <w:tc>
          <w:tcPr>
            <w:tcW w:w="5918"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18" w:type="dxa"/>
            <w:tcBorders/>
            <w:vAlign w:val="bottom"/>
          </w:tcPr>
          <w:p>
            <w:pPr>
              <w:pStyle w:val="TableContents"/>
              <w:bidi w:val="0"/>
              <w:spacing w:before="0" w:after="283"/>
              <w:jc w:val="left"/>
              <w:rPr/>
            </w:pPr>
            <w:r>
              <w:rPr/>
              <w:t> </w:t>
            </w:r>
          </w:p>
        </w:tc>
        <w:tc>
          <w:tcPr>
            <w:tcW w:w="171" w:type="dxa"/>
            <w:vMerge w:val="restart"/>
            <w:tcBorders/>
            <w:vAlign w:val="bottom"/>
          </w:tcPr>
          <w:p>
            <w:pPr>
              <w:pStyle w:val="TableContents"/>
              <w:bidi w:val="0"/>
              <w:spacing w:before="0" w:after="283"/>
              <w:jc w:val="left"/>
              <w:rPr/>
            </w:pPr>
            <w:r>
              <w:rPr/>
              <w:t> </w:t>
            </w:r>
          </w:p>
        </w:tc>
        <w:tc>
          <w:tcPr>
            <w:tcW w:w="1267"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55" w:type="dxa"/>
            <w:vMerge w:val="restart"/>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3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1" w:type="dxa"/>
            <w:tcBorders/>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pPr>
            <w:r>
              <w:rPr/>
              <w:t> </w:t>
            </w:r>
          </w:p>
        </w:tc>
        <w:tc>
          <w:tcPr>
            <w:tcW w:w="171" w:type="dxa"/>
            <w:vMerge w:val="continue"/>
            <w:tcBorders/>
            <w:vAlign w:val="bottom"/>
          </w:tcPr>
          <w:p>
            <w:pPr>
              <w:pStyle w:val="Normal"/>
              <w:bidi w:val="0"/>
              <w:jc w:val="left"/>
              <w:rPr/>
            </w:pPr>
            <w:r>
              <w:rPr/>
            </w:r>
          </w:p>
        </w:tc>
        <w:tc>
          <w:tcPr>
            <w:tcW w:w="1267"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71"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67" w:type="dxa"/>
            <w:gridSpan w:val="2"/>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8"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918"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31,153</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42,220</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90,594</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24,291</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 of allowance for credit losses</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96,016</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82,938</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73,649</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48,475</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38,735</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17,445</w:t>
            </w:r>
          </w:p>
        </w:tc>
        <w:tc>
          <w:tcPr>
            <w:tcW w:w="161" w:type="dxa"/>
            <w:tcBorders/>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175,644</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163,893</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205,979</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90,477</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81,609</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48,465</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net</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4,592</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4,778</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4,029</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95,006</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95,005</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14,953</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50,127</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52,194</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12,307</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 net</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69</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43</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14,674</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21,149</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29,513</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b/>
              </w:rPr>
            </w:pPr>
            <w:r>
              <w:rPr>
                <w:b/>
              </w:rPr>
              <w:t>$</w:t>
            </w:r>
          </w:p>
        </w:tc>
        <w:tc>
          <w:tcPr>
            <w:tcW w:w="1106" w:type="dxa"/>
            <w:tcBorders/>
            <w:vAlign w:val="bottom"/>
          </w:tcPr>
          <w:p>
            <w:pPr>
              <w:pStyle w:val="TableContents"/>
              <w:bidi w:val="0"/>
              <w:spacing w:before="0" w:after="283"/>
              <w:jc w:val="right"/>
              <w:rPr>
                <w:b/>
              </w:rPr>
            </w:pPr>
            <w:r>
              <w:rPr>
                <w:b/>
              </w:rPr>
              <w:t>430,564</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78" w:type="dxa"/>
            <w:tcBorders/>
            <w:vAlign w:val="bottom"/>
          </w:tcPr>
          <w:p>
            <w:pPr>
              <w:pStyle w:val="TableContents"/>
              <w:bidi w:val="0"/>
              <w:spacing w:before="0" w:after="283"/>
              <w:jc w:val="right"/>
              <w:rPr>
                <w:b/>
              </w:rPr>
            </w:pPr>
            <w:r>
              <w:rPr>
                <w:b/>
              </w:rPr>
              <w:t>418,697</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78" w:type="dxa"/>
            <w:tcBorders/>
            <w:vAlign w:val="bottom"/>
          </w:tcPr>
          <w:p>
            <w:pPr>
              <w:pStyle w:val="TableContents"/>
              <w:bidi w:val="0"/>
              <w:spacing w:before="0" w:after="283"/>
              <w:jc w:val="right"/>
              <w:rPr>
                <w:b/>
              </w:rPr>
            </w:pPr>
            <w:r>
              <w:rPr>
                <w:b/>
              </w:rPr>
              <w:t>315,289</w:t>
            </w:r>
          </w:p>
        </w:tc>
        <w:tc>
          <w:tcPr>
            <w:tcW w:w="161" w:type="dxa"/>
            <w:tcBorders/>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918"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16,703</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17,076</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8,255</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related benefits</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23,874</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22,437</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16,855</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and other current liabilities</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6,977</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8,719</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8,752</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 current portion</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2,073</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1,982</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1,675</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revenues – current portion</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23,102</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19,441</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25,005</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net</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2,238</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2,236</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74,967</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71,891</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60,542</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Long-term income taxes</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4,580</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4,273</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2,915</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 non-current portion</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3,475</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3,838</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3,504</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64,214</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64,763</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2,863</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2,910</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2,291</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b/>
              </w:rPr>
            </w:pPr>
            <w:r>
              <w:rPr>
                <w:b/>
              </w:rPr>
              <w:t>150,099</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147,675</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69,252</w:t>
            </w:r>
          </w:p>
        </w:tc>
        <w:tc>
          <w:tcPr>
            <w:tcW w:w="161" w:type="dxa"/>
            <w:tcBorders/>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6</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542,176</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533,503</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502,902</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 at cost</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(169,518</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(165,808</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(159,352</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(89,837</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(94,628</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(93,988</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(2,362</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(2,051</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(3,531</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280,465</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271,022</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246,037</w:t>
            </w:r>
          </w:p>
        </w:tc>
        <w:tc>
          <w:tcPr>
            <w:tcW w:w="161" w:type="dxa"/>
            <w:tcBorders/>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430,564</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8" w:type="dxa"/>
            <w:tcBorders/>
            <w:shd w:fill="CCEEFF" w:val="clear"/>
            <w:vAlign w:val="bottom"/>
          </w:tcPr>
          <w:p>
            <w:pPr>
              <w:pStyle w:val="TableContents"/>
              <w:bidi w:val="0"/>
              <w:spacing w:before="0" w:after="283"/>
              <w:jc w:val="right"/>
              <w:rPr>
                <w:b/>
              </w:rPr>
            </w:pPr>
            <w:r>
              <w:rPr>
                <w:b/>
              </w:rPr>
              <w:t>418,697</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8" w:type="dxa"/>
            <w:tcBorders/>
            <w:shd w:fill="CCEEFF" w:val="clear"/>
            <w:vAlign w:val="bottom"/>
          </w:tcPr>
          <w:p>
            <w:pPr>
              <w:pStyle w:val="TableContents"/>
              <w:bidi w:val="0"/>
              <w:spacing w:before="0" w:after="283"/>
              <w:jc w:val="right"/>
              <w:rPr>
                <w:b/>
              </w:rPr>
            </w:pPr>
            <w:r>
              <w:rPr>
                <w:b/>
              </w:rPr>
              <w:t>315,289</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CONSOLIDATED STATEMENTS OF OPERATIONS AND COMPREHENSIVE INCOME (LOSS)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except per share amounts)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6300"/>
        <w:gridCol w:w="216"/>
        <w:gridCol w:w="140"/>
        <w:gridCol w:w="811"/>
        <w:gridCol w:w="155"/>
        <w:gridCol w:w="183"/>
        <w:gridCol w:w="140"/>
        <w:gridCol w:w="811"/>
        <w:gridCol w:w="155"/>
        <w:gridCol w:w="183"/>
        <w:gridCol w:w="140"/>
        <w:gridCol w:w="811"/>
        <w:gridCol w:w="160"/>
      </w:tblGrid>
      <w:tr>
        <w:trPr/>
        <w:tc>
          <w:tcPr>
            <w:tcW w:w="630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0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352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0"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Platform</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181,025</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157,166</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147,509</w:t>
            </w:r>
          </w:p>
        </w:tc>
        <w:tc>
          <w:tcPr>
            <w:tcW w:w="160"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Volume-based</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37,999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22,299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18,326</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219,024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179,465</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165,835</w:t>
            </w:r>
          </w:p>
        </w:tc>
        <w:tc>
          <w:tcPr>
            <w:tcW w:w="160"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Costs and Expenses: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Costs of revenues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60,623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54,144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51,749</w:t>
            </w:r>
          </w:p>
        </w:tc>
        <w:tc>
          <w:tcPr>
            <w:tcW w:w="160"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64,234</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53,566</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50,736</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84,736</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69,924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62,216</w:t>
            </w:r>
          </w:p>
        </w:tc>
        <w:tc>
          <w:tcPr>
            <w:tcW w:w="160"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3,584</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896</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1,285</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from operations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5,847</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935</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(151</w:t>
            </w:r>
          </w:p>
        </w:tc>
        <w:tc>
          <w:tcPr>
            <w:tcW w:w="160"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(3,955</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and other, net</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1,309</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5,644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5,020</w:t>
            </w:r>
          </w:p>
        </w:tc>
        <w:tc>
          <w:tcPr>
            <w:tcW w:w="160"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before income tax expense</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3,201</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6,579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4,869</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(3,841</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(2,522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(1,764</w:t>
            </w:r>
          </w:p>
        </w:tc>
        <w:tc>
          <w:tcPr>
            <w:tcW w:w="160"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(640</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4,057</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3,105</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 net of tax</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1,489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(1,143</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148</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Change in unrealized loss related to available-for-sale debt securities, net of tax</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15</w:t>
            </w:r>
          </w:p>
        </w:tc>
        <w:tc>
          <w:tcPr>
            <w:tcW w:w="160"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1,480</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(1,144</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163</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b/>
                <w:sz w:val="20"/>
              </w:rPr>
            </w:pPr>
            <w:r>
              <w:rPr>
                <w:rFonts w:ascii="Times New Roman" w:hAnsi="Times New Roman"/>
                <w:b/>
                <w:sz w:val="20"/>
              </w:rPr>
              <w:t>Comprehensive income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840</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2,913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3,268</w:t>
            </w:r>
          </w:p>
        </w:tc>
        <w:tc>
          <w:tcPr>
            <w:tcW w:w="160"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 per share:</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(0.02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0.11</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0.08</w:t>
            </w:r>
          </w:p>
        </w:tc>
        <w:tc>
          <w:tcPr>
            <w:tcW w:w="160"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(0.02</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0.10</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0.08</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common shares used to calculate net income (loss) per share: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39,317</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38,602</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38,015</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39,317</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39,047</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38,937</w:t>
            </w:r>
          </w:p>
        </w:tc>
        <w:tc>
          <w:tcPr>
            <w:tcW w:w="160"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CONDENSED CONSOLIDATED STATEMENTS OF OPERATIONS AND COMPREHENSIVE INCOME (LOSS)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(Unaudited)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except per share amounts)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938"/>
        <w:gridCol w:w="474"/>
        <w:gridCol w:w="246"/>
        <w:gridCol w:w="1204"/>
        <w:gridCol w:w="272"/>
        <w:gridCol w:w="462"/>
        <w:gridCol w:w="246"/>
        <w:gridCol w:w="1205"/>
        <w:gridCol w:w="158"/>
      </w:tblGrid>
      <w:tr>
        <w:trPr/>
        <w:tc>
          <w:tcPr>
            <w:tcW w:w="5938" w:type="dxa"/>
            <w:tcBorders/>
            <w:vAlign w:val="center"/>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8"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36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8" w:type="dxa"/>
            <w:tcBorders/>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145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8" w:type="dxa"/>
            <w:tcBorders/>
            <w:vAlign w:val="bottom"/>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938" w:type="dxa"/>
            <w:tcBorders/>
          </w:tcPr>
          <w:p>
            <w:pPr>
              <w:pStyle w:val="TableContents"/>
              <w:bidi w:val="0"/>
              <w:spacing w:before="0" w:after="0"/>
              <w:jc w:val="left"/>
              <w:rPr>
                <w:rFonts w:ascii="Times New Roman" w:hAnsi="Times New Roman"/>
                <w:sz w:val="20"/>
              </w:rPr>
            </w:pPr>
            <w:r>
              <w:rPr>
                <w:rFonts w:ascii="Times New Roman" w:hAnsi="Times New Roman"/>
                <w:sz w:val="20"/>
              </w:rPr>
              <w:t>Platform</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50,936</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37,321</w:t>
            </w:r>
          </w:p>
        </w:tc>
        <w:tc>
          <w:tcPr>
            <w:tcW w:w="158" w:type="dxa"/>
            <w:tcBorders/>
            <w:vAlign w:val="bottom"/>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Volume-based</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9,194</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10,457</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revenues</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60,130</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47,778</w:t>
            </w:r>
          </w:p>
        </w:tc>
        <w:tc>
          <w:tcPr>
            <w:tcW w:w="158" w:type="dxa"/>
            <w:tcBorders/>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Costs and Expenses:</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938" w:type="dxa"/>
            <w:tcBorders/>
          </w:tcPr>
          <w:p>
            <w:pPr>
              <w:pStyle w:val="TableContents"/>
              <w:bidi w:val="0"/>
              <w:spacing w:before="0" w:after="0"/>
              <w:jc w:val="left"/>
              <w:rPr>
                <w:rFonts w:ascii="Times New Roman" w:hAnsi="Times New Roman"/>
                <w:sz w:val="20"/>
              </w:rPr>
            </w:pPr>
            <w:r>
              <w:rPr>
                <w:rFonts w:ascii="Times New Roman" w:hAnsi="Times New Roman"/>
                <w:sz w:val="20"/>
              </w:rPr>
              <w:t>Costs of revenues</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16,938</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12,955</w:t>
            </w:r>
          </w:p>
        </w:tc>
        <w:tc>
          <w:tcPr>
            <w:tcW w:w="158" w:type="dxa"/>
            <w:tcBorders/>
            <w:vAlign w:val="bottom"/>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18,328</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14,628</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17,492</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23,372</w:t>
            </w:r>
          </w:p>
        </w:tc>
        <w:tc>
          <w:tcPr>
            <w:tcW w:w="158" w:type="dxa"/>
            <w:tcBorders/>
            <w:vAlign w:val="bottom"/>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1,059</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378</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from operations</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6,313</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(3,555</w:t>
            </w:r>
          </w:p>
        </w:tc>
        <w:tc>
          <w:tcPr>
            <w:tcW w:w="158" w:type="dxa"/>
            <w:tcBorders/>
            <w:vAlign w:val="bottom"/>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(1,089</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(311</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and other, net</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592</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870</w:t>
            </w:r>
          </w:p>
        </w:tc>
        <w:tc>
          <w:tcPr>
            <w:tcW w:w="158" w:type="dxa"/>
            <w:tcBorders/>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 expense</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5,816</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(2,996</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(1,025</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(36</w:t>
            </w:r>
          </w:p>
        </w:tc>
        <w:tc>
          <w:tcPr>
            <w:tcW w:w="158" w:type="dxa"/>
            <w:tcBorders/>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4,791</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(3,032</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 net of tax</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(311</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462</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sz w:val="20"/>
              </w:rPr>
            </w:pPr>
            <w:r>
              <w:rPr>
                <w:rFonts w:ascii="Times New Roman" w:hAnsi="Times New Roman"/>
                <w:sz w:val="20"/>
              </w:rPr>
              <w:t>Change in unrealized loss related to available-for-sale debt securities, net of tax</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(10</w:t>
            </w:r>
          </w:p>
        </w:tc>
        <w:tc>
          <w:tcPr>
            <w:tcW w:w="158" w:type="dxa"/>
            <w:tcBorders/>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other comprehensive income (loss)</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(311</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452</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b/>
                <w:sz w:val="20"/>
              </w:rPr>
            </w:pPr>
            <w:r>
              <w:rPr>
                <w:rFonts w:ascii="Times New Roman" w:hAnsi="Times New Roman"/>
                <w:b/>
                <w:sz w:val="20"/>
              </w:rPr>
              <w:t>Comprehensive income (loss)</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4,480</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(2,580</w:t>
            </w:r>
          </w:p>
        </w:tc>
        <w:tc>
          <w:tcPr>
            <w:tcW w:w="158" w:type="dxa"/>
            <w:tcBorders/>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 per share:</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938"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0.12</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(0.08</w:t>
            </w:r>
          </w:p>
        </w:tc>
        <w:tc>
          <w:tcPr>
            <w:tcW w:w="158" w:type="dxa"/>
            <w:tcBorders/>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0.12</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(0.08</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common shares used to calculate net income (loss) per share:</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39,857</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39,088</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40,377</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39,088</w:t>
            </w:r>
          </w:p>
        </w:tc>
        <w:tc>
          <w:tcPr>
            <w:tcW w:w="158" w:type="dxa"/>
            <w:tcBorders/>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CONSOLIDATED STATEMENTS OF CASH FLOWS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6171"/>
        <w:gridCol w:w="223"/>
        <w:gridCol w:w="140"/>
        <w:gridCol w:w="915"/>
        <w:gridCol w:w="155"/>
        <w:gridCol w:w="186"/>
        <w:gridCol w:w="140"/>
        <w:gridCol w:w="766"/>
        <w:gridCol w:w="155"/>
        <w:gridCol w:w="186"/>
        <w:gridCol w:w="140"/>
        <w:gridCol w:w="869"/>
        <w:gridCol w:w="159"/>
      </w:tblGrid>
      <w:tr>
        <w:trPr/>
        <w:tc>
          <w:tcPr>
            <w:tcW w:w="6171"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7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65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5" w:type="dxa"/>
            <w:tcBorders/>
            <w:vAlign w:val="bottom"/>
          </w:tcPr>
          <w:p>
            <w:pPr>
              <w:pStyle w:val="TableContents"/>
              <w:bidi w:val="0"/>
              <w:spacing w:before="0" w:after="283"/>
              <w:jc w:val="right"/>
              <w:rPr/>
            </w:pPr>
            <w:r>
              <w:rPr/>
              <w:t>(640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4,057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9" w:type="dxa"/>
            <w:tcBorders/>
            <w:vAlign w:val="bottom"/>
          </w:tcPr>
          <w:p>
            <w:pPr>
              <w:pStyle w:val="TableContents"/>
              <w:bidi w:val="0"/>
              <w:spacing w:before="0" w:after="283"/>
              <w:jc w:val="right"/>
              <w:rPr/>
            </w:pPr>
            <w:r>
              <w:rPr/>
              <w:t>3,105</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net cash provided by operating activities: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25,925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25,047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21,484</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4,085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3,628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4,986</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7,255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3,231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3,551</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costs capitalized to obtain revenue contracts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3,155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2,674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2,142</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Net accretion of discounts on short-term investments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(279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(1,542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(1,174</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damaged equipment in-transit, net of (recovery) from previously written-off property and equipment</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(641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586</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895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(74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(108</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2,386</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(198</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(6,343</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(28,800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(2,748</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(16,361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(2,033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(7,329</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1,589</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1,580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1,205</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6,574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(3,577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(4,166</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4,882</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2,791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(2,145</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related benefits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5,255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2,288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(2,188</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and other liabilities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(2,630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1,780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110</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(6,866</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(2,629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(640</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(1,699</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(1,690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(1,287</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24,053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9,703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14,600</w:t>
            </w:r>
          </w:p>
        </w:tc>
        <w:tc>
          <w:tcPr>
            <w:tcW w:w="159" w:type="dxa"/>
            <w:tcBorders/>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maturities and sales of short-term investments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27,498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68,125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43,800</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short-term investments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(2,937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(54,331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(59,598</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convertible promissory note</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(2,000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(32,631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(17,155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(11,236</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Prepayment for the purchase of property and equipment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(630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(89</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and recovery from previously written-off property and equipment</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641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105</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intangible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(150</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for business acquisition, net of cash acquired</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(129,718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(1,823</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(137,361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(5,936</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(28,991</w:t>
            </w:r>
          </w:p>
        </w:tc>
        <w:tc>
          <w:tcPr>
            <w:tcW w:w="159" w:type="dxa"/>
            <w:tcBorders/>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long-term debt, net of debt discount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69,550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debt issuance costs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(900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long-term debt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(1,875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 and employee stock purchase plan</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4,244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4,196</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4,324</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Payments for taxes related to net share settlement of equity awards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(6,212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(8,530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(9,471</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Repurchases of common stock</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(244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(6,899</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(743</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financing activities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64,563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(11,233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(5,890</w:t>
            </w:r>
          </w:p>
        </w:tc>
        <w:tc>
          <w:tcPr>
            <w:tcW w:w="159" w:type="dxa"/>
            <w:tcBorders/>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371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(918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(365</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cash and cash equivalents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(48,374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(8,384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(20,646</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year</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90,594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98,978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119,624</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end of year</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5" w:type="dxa"/>
            <w:tcBorders/>
            <w:vAlign w:val="bottom"/>
          </w:tcPr>
          <w:p>
            <w:pPr>
              <w:pStyle w:val="TableContents"/>
              <w:bidi w:val="0"/>
              <w:spacing w:before="0" w:after="283"/>
              <w:jc w:val="right"/>
              <w:rPr/>
            </w:pPr>
            <w:r>
              <w:rPr/>
              <w:t>42,220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90,594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9" w:type="dxa"/>
            <w:tcBorders/>
            <w:vAlign w:val="bottom"/>
          </w:tcPr>
          <w:p>
            <w:pPr>
              <w:pStyle w:val="TableContents"/>
              <w:bidi w:val="0"/>
              <w:spacing w:before="0" w:after="283"/>
              <w:jc w:val="right"/>
              <w:rPr/>
            </w:pPr>
            <w:r>
              <w:rPr/>
              <w:t>98,978</w:t>
            </w:r>
          </w:p>
        </w:tc>
        <w:tc>
          <w:tcPr>
            <w:tcW w:w="159" w:type="dxa"/>
            <w:tcBorders/>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bdr w:val="single" w:sz="8" w:space="1" w:color="000000"/>
        </w:rPr>
      </w:pPr>
      <w:r>
        <w:rPr>
          <w:rFonts w:ascii="Times New Roman" w:hAnsi="Times New Roman"/>
          <w:i/>
          <w:sz w:val="20"/>
          <w:bdr w:val="single" w:sz="8" w:space="1" w:color="000000"/>
        </w:rPr>
        <w:t xml:space="preserve">Continued on next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CONSOLIDATED STATEMENTS OF CASH FLOWS – CONTINUED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7077"/>
        <w:gridCol w:w="231"/>
        <w:gridCol w:w="140"/>
        <w:gridCol w:w="710"/>
        <w:gridCol w:w="60"/>
        <w:gridCol w:w="231"/>
        <w:gridCol w:w="140"/>
        <w:gridCol w:w="560"/>
        <w:gridCol w:w="60"/>
        <w:gridCol w:w="231"/>
        <w:gridCol w:w="140"/>
        <w:gridCol w:w="560"/>
        <w:gridCol w:w="65"/>
      </w:tblGrid>
      <w:tr>
        <w:trPr/>
        <w:tc>
          <w:tcPr>
            <w:tcW w:w="7077"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07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83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70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7077" w:type="dxa"/>
            <w:tcBorders/>
          </w:tcPr>
          <w:p>
            <w:pPr>
              <w:pStyle w:val="TableContents"/>
              <w:bidi w:val="0"/>
              <w:spacing w:before="0" w:after="0"/>
              <w:jc w:val="left"/>
              <w:rPr>
                <w:rFonts w:ascii="Times New Roman" w:hAnsi="Times New Roman"/>
                <w:sz w:val="20"/>
              </w:rPr>
            </w:pPr>
            <w:r>
              <w:rPr>
                <w:rFonts w:ascii="Times New Roman" w:hAnsi="Times New Roman"/>
                <w:sz w:val="20"/>
              </w:rPr>
              <w:t>Cash payments for:</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7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2,701</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2,562</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3,783</w:t>
            </w:r>
          </w:p>
        </w:tc>
        <w:tc>
          <w:tcPr>
            <w:tcW w:w="65" w:type="dxa"/>
            <w:tcBorders/>
            <w:shd w:fill="CCEEFF" w:val="clear"/>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077" w:type="dxa"/>
            <w:tcBorders/>
          </w:tcPr>
          <w:p>
            <w:pPr>
              <w:pStyle w:val="TableContents"/>
              <w:bidi w:val="0"/>
              <w:spacing w:before="0" w:after="0"/>
              <w:jc w:val="left"/>
              <w:rPr>
                <w:rFonts w:ascii="Times New Roman" w:hAnsi="Times New Roman"/>
                <w:sz w:val="20"/>
              </w:rPr>
            </w:pPr>
            <w:r>
              <w:rPr>
                <w:rFonts w:ascii="Times New Roman" w:hAnsi="Times New Roman"/>
                <w:sz w:val="20"/>
              </w:rPr>
              <w:t>Amounts included in the measurement of operating lease liabilities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1,960</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1,784</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1,648</w:t>
            </w:r>
          </w:p>
        </w:tc>
        <w:tc>
          <w:tcPr>
            <w:tcW w:w="65" w:type="dxa"/>
            <w:tcBorders/>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on long-term debt</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3,720</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077"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information:</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7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Prepayments for purchase of property and equipment transferred from prepaid assets to property and equipment</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505</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89</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66</w:t>
            </w:r>
          </w:p>
        </w:tc>
        <w:tc>
          <w:tcPr>
            <w:tcW w:w="65" w:type="dxa"/>
            <w:tcBorders/>
            <w:shd w:fill="CCEEFF" w:val="clear"/>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077"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received and accrued in accounts payable and accrued and other current liabilities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12,291</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7,272</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1,599</w:t>
            </w:r>
          </w:p>
        </w:tc>
        <w:tc>
          <w:tcPr>
            <w:tcW w:w="65" w:type="dxa"/>
            <w:tcBorders/>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carrying value of property and equipment sold and expensed in cost of revenues, and property and equipment transferred to sales-type leases and from other non-current assets, net</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3,242</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7,157</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8,076</w:t>
            </w:r>
          </w:p>
        </w:tc>
        <w:tc>
          <w:tcPr>
            <w:tcW w:w="65" w:type="dxa"/>
            <w:tcBorders/>
            <w:shd w:fill="CCEEFF" w:val="clear"/>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077"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capitalized as property and equipment</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432</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364</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72</w:t>
            </w:r>
          </w:p>
        </w:tc>
        <w:tc>
          <w:tcPr>
            <w:tcW w:w="65" w:type="dxa"/>
            <w:tcBorders/>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arising from obtaining right-of-use assets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2,292</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718</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131</w:t>
            </w:r>
          </w:p>
        </w:tc>
        <w:tc>
          <w:tcPr>
            <w:tcW w:w="65" w:type="dxa"/>
            <w:tcBorders/>
            <w:shd w:fill="CCEEFF" w:val="clear"/>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CONDENSED CONSOLIDATED STATEMENTS OF CASH FLOWS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(Unaudited)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7485"/>
        <w:gridCol w:w="235"/>
        <w:gridCol w:w="140"/>
        <w:gridCol w:w="770"/>
        <w:gridCol w:w="155"/>
        <w:gridCol w:w="200"/>
        <w:gridCol w:w="140"/>
        <w:gridCol w:w="922"/>
        <w:gridCol w:w="158"/>
      </w:tblGrid>
      <w:tr>
        <w:trPr/>
        <w:tc>
          <w:tcPr>
            <w:tcW w:w="7485"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8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3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58" w:type="dxa"/>
            <w:tcBorders/>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4,791</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2" w:type="dxa"/>
            <w:tcBorders/>
            <w:vAlign w:val="bottom"/>
          </w:tcPr>
          <w:p>
            <w:pPr>
              <w:pStyle w:val="TableContents"/>
              <w:bidi w:val="0"/>
              <w:spacing w:before="0" w:after="283"/>
              <w:jc w:val="right"/>
              <w:rPr/>
            </w:pPr>
            <w:r>
              <w:rPr/>
              <w:t>(3,032</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net cash provided by operating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6,396</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6,596</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1,559</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685</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2,057</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1,056</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costs capitalized to obtain revenue contracts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759</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872</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Net accretion of discounts on short-term investments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(196</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263</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(312</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(248</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(12,980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13,033</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(5,213</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(5,123</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416</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374</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1,093</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(4,124</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(1,851</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84</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 and related benefits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1,494</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(6,025</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Accrued and other liabilities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(370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3,936</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3,752</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1,504</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(500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(440</w:t>
            </w:r>
          </w:p>
        </w:tc>
        <w:tc>
          <w:tcPr>
            <w:tcW w:w="158" w:type="dxa"/>
            <w:tcBorders/>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1,674</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8,640</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maturities and sales of short-term investments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16,998</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short-term investments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(2,938</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(10,473</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(8,105</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Prepayment for the purchase of property and equipment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(98</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for business acquisition, net of cash acquired</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(129,718</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(10,500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(123,861</w:t>
            </w:r>
          </w:p>
        </w:tc>
        <w:tc>
          <w:tcPr>
            <w:tcW w:w="158" w:type="dxa"/>
            <w:tcBorders/>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long-term debt, net of debt discount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69,550</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debt issuance costs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(400</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long-term debt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(625</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 and employee stock purchase plan</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2,189</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2,128</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Payments for taxes related to net share settlement of equity awards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(3,710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(3,320</w:t>
            </w:r>
          </w:p>
        </w:tc>
        <w:tc>
          <w:tcPr>
            <w:tcW w:w="158" w:type="dxa"/>
            <w:tcBorders/>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financing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(2,146</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67,958</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(95</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403</w:t>
            </w:r>
          </w:p>
        </w:tc>
        <w:tc>
          <w:tcPr>
            <w:tcW w:w="158" w:type="dxa"/>
            <w:tcBorders/>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cash and cash equivalents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(11,067</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(46,860</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42,220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90,594</w:t>
            </w:r>
          </w:p>
        </w:tc>
        <w:tc>
          <w:tcPr>
            <w:tcW w:w="158" w:type="dxa"/>
            <w:tcBorders/>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end of period</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31,153</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2" w:type="dxa"/>
            <w:tcBorders/>
            <w:shd w:fill="CCEEFF" w:val="clear"/>
            <w:vAlign w:val="bottom"/>
          </w:tcPr>
          <w:p>
            <w:pPr>
              <w:pStyle w:val="TableContents"/>
              <w:bidi w:val="0"/>
              <w:spacing w:before="0" w:after="283"/>
              <w:jc w:val="right"/>
              <w:rPr/>
            </w:pPr>
            <w:r>
              <w:rPr/>
              <w:t>43,734</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bdr w:val="single" w:sz="8" w:space="1" w:color="000000"/>
        </w:rPr>
      </w:pPr>
      <w:r>
        <w:rPr>
          <w:rFonts w:ascii="Times New Roman" w:hAnsi="Times New Roman"/>
          <w:i/>
          <w:sz w:val="20"/>
          <w:bdr w:val="single" w:sz="8" w:space="1" w:color="000000"/>
        </w:rPr>
        <w:t xml:space="preserve">Continued on next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CONDENSED CONSOLIDATED STATEMENTS OF CASH FLOWS – CONTINUED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(Unaudited)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7531"/>
        <w:gridCol w:w="240"/>
        <w:gridCol w:w="182"/>
        <w:gridCol w:w="925"/>
        <w:gridCol w:w="78"/>
        <w:gridCol w:w="265"/>
        <w:gridCol w:w="182"/>
        <w:gridCol w:w="738"/>
        <w:gridCol w:w="64"/>
      </w:tblGrid>
      <w:tr>
        <w:trPr/>
        <w:tc>
          <w:tcPr>
            <w:tcW w:w="7531"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53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3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64" w:type="dxa"/>
            <w:tcBorders/>
            <w:vAlign w:val="bottom"/>
          </w:tcPr>
          <w:p>
            <w:pPr>
              <w:pStyle w:val="TableContents"/>
              <w:bidi w:val="0"/>
              <w:spacing w:before="0" w:after="283"/>
              <w:jc w:val="left"/>
              <w:rPr/>
            </w:pPr>
            <w:r>
              <w:rPr/>
              <w:t> </w:t>
            </w:r>
          </w:p>
        </w:tc>
      </w:tr>
      <w:tr>
        <w:trPr/>
        <w:tc>
          <w:tcPr>
            <w:tcW w:w="753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8"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75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24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531" w:type="dxa"/>
            <w:tcBorders/>
          </w:tcPr>
          <w:p>
            <w:pPr>
              <w:pStyle w:val="TableContents"/>
              <w:bidi w:val="0"/>
              <w:spacing w:before="0" w:after="0"/>
              <w:jc w:val="left"/>
              <w:rPr>
                <w:rFonts w:ascii="Times New Roman" w:hAnsi="Times New Roman"/>
                <w:sz w:val="20"/>
              </w:rPr>
            </w:pPr>
            <w:r>
              <w:rPr>
                <w:rFonts w:ascii="Times New Roman" w:hAnsi="Times New Roman"/>
                <w:sz w:val="20"/>
              </w:rPr>
              <w:t>Cash payments for:</w:t>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24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817</w:t>
            </w:r>
          </w:p>
        </w:tc>
        <w:tc>
          <w:tcPr>
            <w:tcW w:w="7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226</w:t>
            </w:r>
          </w:p>
        </w:tc>
        <w:tc>
          <w:tcPr>
            <w:tcW w:w="64" w:type="dxa"/>
            <w:tcBorders/>
            <w:shd w:fill="CCEEFF" w:val="clear"/>
            <w:vAlign w:val="bottom"/>
          </w:tcPr>
          <w:p>
            <w:pPr>
              <w:pStyle w:val="TableContents"/>
              <w:bidi w:val="0"/>
              <w:spacing w:before="0" w:after="283"/>
              <w:jc w:val="left"/>
              <w:rPr/>
            </w:pPr>
            <w:r>
              <w:rPr/>
              <w:t> </w:t>
            </w:r>
          </w:p>
        </w:tc>
      </w:tr>
      <w:tr>
        <w:trPr/>
        <w:tc>
          <w:tcPr>
            <w:tcW w:w="753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31" w:type="dxa"/>
            <w:tcBorders/>
          </w:tcPr>
          <w:p>
            <w:pPr>
              <w:pStyle w:val="TableContents"/>
              <w:bidi w:val="0"/>
              <w:spacing w:before="0" w:after="0"/>
              <w:jc w:val="left"/>
              <w:rPr>
                <w:rFonts w:ascii="Times New Roman" w:hAnsi="Times New Roman"/>
                <w:sz w:val="20"/>
              </w:rPr>
            </w:pPr>
            <w:r>
              <w:rPr>
                <w:rFonts w:ascii="Times New Roman" w:hAnsi="Times New Roman"/>
                <w:sz w:val="20"/>
              </w:rPr>
              <w:t>Amounts included in the measurement of operating lease liabilities</w:t>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572</w:t>
            </w:r>
          </w:p>
        </w:tc>
        <w:tc>
          <w:tcPr>
            <w:tcW w:w="78"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481</w:t>
            </w:r>
          </w:p>
        </w:tc>
        <w:tc>
          <w:tcPr>
            <w:tcW w:w="64" w:type="dxa"/>
            <w:tcBorders/>
            <w:vAlign w:val="bottom"/>
          </w:tcPr>
          <w:p>
            <w:pPr>
              <w:pStyle w:val="TableContents"/>
              <w:bidi w:val="0"/>
              <w:spacing w:before="0" w:after="283"/>
              <w:jc w:val="left"/>
              <w:rPr/>
            </w:pPr>
            <w:r>
              <w:rPr/>
              <w:t> </w:t>
            </w:r>
          </w:p>
        </w:tc>
      </w:tr>
      <w:tr>
        <w:trPr/>
        <w:tc>
          <w:tcPr>
            <w:tcW w:w="753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on long-term debt</w:t>
            </w:r>
          </w:p>
        </w:tc>
        <w:tc>
          <w:tcPr>
            <w:tcW w:w="24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1,010</w:t>
            </w:r>
          </w:p>
        </w:tc>
        <w:tc>
          <w:tcPr>
            <w:tcW w:w="7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753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31"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information:</w:t>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Prepayments for purchase of property and equipment transferred from prepaid assets to property and equipment</w:t>
            </w:r>
          </w:p>
        </w:tc>
        <w:tc>
          <w:tcPr>
            <w:tcW w:w="24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190</w:t>
            </w:r>
          </w:p>
        </w:tc>
        <w:tc>
          <w:tcPr>
            <w:tcW w:w="7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136</w:t>
            </w:r>
          </w:p>
        </w:tc>
        <w:tc>
          <w:tcPr>
            <w:tcW w:w="64" w:type="dxa"/>
            <w:tcBorders/>
            <w:shd w:fill="CCEEFF" w:val="clear"/>
            <w:vAlign w:val="bottom"/>
          </w:tcPr>
          <w:p>
            <w:pPr>
              <w:pStyle w:val="TableContents"/>
              <w:bidi w:val="0"/>
              <w:spacing w:before="0" w:after="283"/>
              <w:jc w:val="left"/>
              <w:rPr/>
            </w:pPr>
            <w:r>
              <w:rPr/>
              <w:t> </w:t>
            </w:r>
          </w:p>
        </w:tc>
      </w:tr>
      <w:tr>
        <w:trPr/>
        <w:tc>
          <w:tcPr>
            <w:tcW w:w="753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31"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received and accrued in accounts payable and accrued and other current liabilities</w:t>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11,984</w:t>
            </w:r>
          </w:p>
        </w:tc>
        <w:tc>
          <w:tcPr>
            <w:tcW w:w="78"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6,094</w:t>
            </w:r>
          </w:p>
        </w:tc>
        <w:tc>
          <w:tcPr>
            <w:tcW w:w="64" w:type="dxa"/>
            <w:tcBorders/>
            <w:vAlign w:val="bottom"/>
          </w:tcPr>
          <w:p>
            <w:pPr>
              <w:pStyle w:val="TableContents"/>
              <w:bidi w:val="0"/>
              <w:spacing w:before="0" w:after="283"/>
              <w:jc w:val="left"/>
              <w:rPr/>
            </w:pPr>
            <w:r>
              <w:rPr/>
              <w:t> </w:t>
            </w:r>
          </w:p>
        </w:tc>
      </w:tr>
      <w:tr>
        <w:trPr/>
        <w:tc>
          <w:tcPr>
            <w:tcW w:w="753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capitalized as property and equipment</w:t>
            </w:r>
          </w:p>
        </w:tc>
        <w:tc>
          <w:tcPr>
            <w:tcW w:w="24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88</w:t>
            </w:r>
          </w:p>
        </w:tc>
        <w:tc>
          <w:tcPr>
            <w:tcW w:w="7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119</w:t>
            </w:r>
          </w:p>
        </w:tc>
        <w:tc>
          <w:tcPr>
            <w:tcW w:w="64" w:type="dxa"/>
            <w:tcBorders/>
            <w:shd w:fill="CCEEFF" w:val="clear"/>
            <w:vAlign w:val="bottom"/>
          </w:tcPr>
          <w:p>
            <w:pPr>
              <w:pStyle w:val="TableContents"/>
              <w:bidi w:val="0"/>
              <w:spacing w:before="0" w:after="283"/>
              <w:jc w:val="left"/>
              <w:rPr/>
            </w:pPr>
            <w:r>
              <w:rPr/>
              <w:t> </w:t>
            </w:r>
          </w:p>
        </w:tc>
      </w:tr>
      <w:tr>
        <w:trPr/>
        <w:tc>
          <w:tcPr>
            <w:tcW w:w="753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3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arising from obtaining right-of-use assets</w:t>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257</w:t>
            </w:r>
          </w:p>
        </w:tc>
        <w:tc>
          <w:tcPr>
            <w:tcW w:w="78"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753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financing costs included in accounts payable</w:t>
            </w:r>
          </w:p>
        </w:tc>
        <w:tc>
          <w:tcPr>
            <w:tcW w:w="24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500</w:t>
            </w:r>
          </w:p>
        </w:tc>
        <w:tc>
          <w:tcPr>
            <w:tcW w:w="64" w:type="dxa"/>
            <w:tcBorders/>
            <w:shd w:fill="CCEEFF" w:val="clear"/>
            <w:vAlign w:val="bottom"/>
          </w:tcPr>
          <w:p>
            <w:pPr>
              <w:pStyle w:val="TableContents"/>
              <w:bidi w:val="0"/>
              <w:spacing w:before="0" w:after="283"/>
              <w:jc w:val="left"/>
              <w:rPr/>
            </w:pPr>
            <w:r>
              <w:rPr/>
              <w:t> </w:t>
            </w:r>
          </w:p>
        </w:tc>
      </w:tr>
      <w:tr>
        <w:trPr/>
        <w:tc>
          <w:tcPr>
            <w:tcW w:w="753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Historical Revenue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825"/>
        <w:gridCol w:w="126"/>
        <w:gridCol w:w="174"/>
        <w:gridCol w:w="1001"/>
        <w:gridCol w:w="60"/>
        <w:gridCol w:w="126"/>
        <w:gridCol w:w="210"/>
        <w:gridCol w:w="1206"/>
        <w:gridCol w:w="60"/>
        <w:gridCol w:w="126"/>
        <w:gridCol w:w="210"/>
        <w:gridCol w:w="1206"/>
        <w:gridCol w:w="60"/>
        <w:gridCol w:w="126"/>
        <w:gridCol w:w="210"/>
        <w:gridCol w:w="1205"/>
        <w:gridCol w:w="60"/>
        <w:gridCol w:w="126"/>
        <w:gridCol w:w="210"/>
        <w:gridCol w:w="1206"/>
        <w:gridCol w:w="60"/>
        <w:gridCol w:w="126"/>
        <w:gridCol w:w="210"/>
        <w:gridCol w:w="1206"/>
        <w:gridCol w:w="70"/>
      </w:tblGrid>
      <w:tr>
        <w:trPr/>
        <w:tc>
          <w:tcPr>
            <w:tcW w:w="82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82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184"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Twelve Months Ended,</w:t>
            </w:r>
          </w:p>
        </w:tc>
        <w:tc>
          <w:tcPr>
            <w:tcW w:w="70" w:type="dxa"/>
            <w:tcBorders/>
            <w:vAlign w:val="bottom"/>
          </w:tcPr>
          <w:p>
            <w:pPr>
              <w:pStyle w:val="TableContents"/>
              <w:bidi w:val="0"/>
              <w:spacing w:before="0" w:after="283"/>
              <w:jc w:val="left"/>
              <w:rPr/>
            </w:pPr>
            <w:r>
              <w:rPr/>
              <w:t> </w:t>
            </w:r>
          </w:p>
        </w:tc>
      </w:tr>
      <w:tr>
        <w:trPr/>
        <w:tc>
          <w:tcPr>
            <w:tcW w:w="82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2021</w:t>
            </w:r>
          </w:p>
        </w:tc>
        <w:tc>
          <w:tcPr>
            <w:tcW w:w="70" w:type="dxa"/>
            <w:tcBorders/>
            <w:vAlign w:val="bottom"/>
          </w:tcPr>
          <w:p>
            <w:pPr>
              <w:pStyle w:val="TableContents"/>
              <w:bidi w:val="0"/>
              <w:spacing w:before="0" w:after="283"/>
              <w:jc w:val="left"/>
              <w:rPr/>
            </w:pPr>
            <w:r>
              <w:rPr/>
              <w:t> </w:t>
            </w:r>
          </w:p>
        </w:tc>
      </w:tr>
      <w:tr>
        <w:trPr/>
        <w:tc>
          <w:tcPr>
            <w:tcW w:w="82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center"/>
              <w:rPr>
                <w:b/>
              </w:rPr>
            </w:pPr>
            <w:r>
              <w:rPr>
                <w:b/>
              </w:rPr>
              <w:t>(Unaudited)</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6" w:type="dxa"/>
            <w:gridSpan w:val="2"/>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r>
      <w:tr>
        <w:trPr/>
        <w:tc>
          <w:tcPr>
            <w:tcW w:w="8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2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231,376</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219,024</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179,465</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165,835</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148,549</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111,060</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10310" w:type="dxa"/>
        <w:jc w:val="center"/>
        <w:tblInd w:w="0" w:type="dxa"/>
        <w:tblLayout w:type="fixed"/>
        <w:tblCellMar>
          <w:top w:w="0" w:type="dxa"/>
          <w:left w:w="0" w:type="dxa"/>
          <w:bottom w:w="0" w:type="dxa"/>
          <w:right w:w="0" w:type="dxa"/>
        </w:tblCellMar>
      </w:tblPr>
      <w:tblGrid>
        <w:gridCol w:w="740"/>
        <w:gridCol w:w="120"/>
        <w:gridCol w:w="241"/>
        <w:gridCol w:w="1174"/>
        <w:gridCol w:w="60"/>
        <w:gridCol w:w="120"/>
        <w:gridCol w:w="241"/>
        <w:gridCol w:w="1174"/>
        <w:gridCol w:w="60"/>
        <w:gridCol w:w="120"/>
        <w:gridCol w:w="241"/>
        <w:gridCol w:w="1174"/>
        <w:gridCol w:w="60"/>
        <w:gridCol w:w="120"/>
        <w:gridCol w:w="210"/>
        <w:gridCol w:w="1205"/>
        <w:gridCol w:w="60"/>
        <w:gridCol w:w="120"/>
        <w:gridCol w:w="210"/>
        <w:gridCol w:w="1205"/>
        <w:gridCol w:w="60"/>
        <w:gridCol w:w="120"/>
        <w:gridCol w:w="241"/>
        <w:gridCol w:w="1174"/>
        <w:gridCol w:w="60"/>
      </w:tblGrid>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9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Twelve Months Ended,</w:t>
            </w:r>
          </w:p>
        </w:tc>
        <w:tc>
          <w:tcPr>
            <w:tcW w:w="60" w:type="dxa"/>
            <w:tcBorders/>
            <w:vAlign w:val="bottom"/>
          </w:tcPr>
          <w:p>
            <w:pPr>
              <w:pStyle w:val="TableContents"/>
              <w:bidi w:val="0"/>
              <w:spacing w:before="0" w:after="283"/>
              <w:jc w:val="left"/>
              <w:rPr/>
            </w:pPr>
            <w:r>
              <w:rPr/>
              <w:t> </w:t>
            </w:r>
          </w:p>
        </w:tc>
      </w:tr>
      <w:tr>
        <w:trPr/>
        <w:tc>
          <w:tcPr>
            <w:tcW w:w="7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2015</w:t>
            </w:r>
          </w:p>
        </w:tc>
        <w:tc>
          <w:tcPr>
            <w:tcW w:w="60" w:type="dxa"/>
            <w:tcBorders/>
            <w:vAlign w:val="bottom"/>
          </w:tcPr>
          <w:p>
            <w:pPr>
              <w:pStyle w:val="TableContents"/>
              <w:bidi w:val="0"/>
              <w:spacing w:before="0" w:after="283"/>
              <w:jc w:val="left"/>
              <w:rPr/>
            </w:pPr>
            <w:r>
              <w:rPr/>
              <w:t> </w:t>
            </w:r>
          </w:p>
        </w:tc>
      </w:tr>
      <w:tr>
        <w:trPr/>
        <w:tc>
          <w:tcPr>
            <w:tcW w:w="7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88,046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85,585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85,794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101,871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107,461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97,977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GAAP to Non-GAAP Reconciliation of Gross Margin </w:t>
      </w:r>
    </w:p>
    <w:p>
      <w:pPr>
        <w:pStyle w:val="TextBody"/>
        <w:bidi w:val="0"/>
        <w:spacing w:before="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except percentages)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1980"/>
        <w:gridCol w:w="150"/>
        <w:gridCol w:w="140"/>
        <w:gridCol w:w="828"/>
        <w:gridCol w:w="320"/>
        <w:gridCol w:w="94"/>
        <w:gridCol w:w="140"/>
        <w:gridCol w:w="828"/>
        <w:gridCol w:w="320"/>
        <w:gridCol w:w="94"/>
        <w:gridCol w:w="140"/>
        <w:gridCol w:w="828"/>
        <w:gridCol w:w="320"/>
        <w:gridCol w:w="93"/>
        <w:gridCol w:w="140"/>
        <w:gridCol w:w="828"/>
        <w:gridCol w:w="320"/>
        <w:gridCol w:w="94"/>
        <w:gridCol w:w="140"/>
        <w:gridCol w:w="828"/>
        <w:gridCol w:w="320"/>
        <w:gridCol w:w="94"/>
        <w:gridCol w:w="140"/>
        <w:gridCol w:w="696"/>
        <w:gridCol w:w="330"/>
      </w:tblGrid>
      <w:tr>
        <w:trPr/>
        <w:tc>
          <w:tcPr>
            <w:tcW w:w="198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98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745"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330" w:type="dxa"/>
            <w:tcBorders/>
            <w:vAlign w:val="bottom"/>
          </w:tcPr>
          <w:p>
            <w:pPr>
              <w:pStyle w:val="TableContents"/>
              <w:bidi w:val="0"/>
              <w:spacing w:before="0" w:after="283"/>
              <w:jc w:val="left"/>
              <w:rPr/>
            </w:pPr>
            <w:r>
              <w:rPr/>
              <w:t> </w:t>
            </w:r>
          </w:p>
        </w:tc>
      </w:tr>
      <w:tr>
        <w:trPr/>
        <w:tc>
          <w:tcPr>
            <w:tcW w:w="198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330" w:type="dxa"/>
            <w:tcBorders/>
            <w:vAlign w:val="bottom"/>
          </w:tcPr>
          <w:p>
            <w:pPr>
              <w:pStyle w:val="TableContents"/>
              <w:bidi w:val="0"/>
              <w:spacing w:before="0" w:after="283"/>
              <w:jc w:val="left"/>
              <w:rPr/>
            </w:pPr>
            <w:r>
              <w:rPr/>
              <w:t> </w:t>
            </w:r>
          </w:p>
        </w:tc>
      </w:tr>
      <w:tr>
        <w:trPr/>
        <w:tc>
          <w:tcPr>
            <w:tcW w:w="19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6"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sz w:val="4"/>
                <w:szCs w:val="4"/>
              </w:rPr>
            </w:pPr>
            <w:r>
              <w:rPr>
                <w:sz w:val="4"/>
                <w:szCs w:val="4"/>
              </w:rPr>
            </w:r>
          </w:p>
        </w:tc>
      </w:tr>
      <w:tr>
        <w:trPr/>
        <w:tc>
          <w:tcPr>
            <w:tcW w:w="1980"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219,024</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179,465</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165,835</w:t>
            </w:r>
          </w:p>
        </w:tc>
        <w:tc>
          <w:tcPr>
            <w:tcW w:w="3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148,549</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111,060</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6" w:type="dxa"/>
            <w:tcBorders/>
            <w:vAlign w:val="bottom"/>
          </w:tcPr>
          <w:p>
            <w:pPr>
              <w:pStyle w:val="TableContents"/>
              <w:bidi w:val="0"/>
              <w:spacing w:before="0" w:after="283"/>
              <w:jc w:val="right"/>
              <w:rPr/>
            </w:pPr>
            <w:r>
              <w:rPr/>
              <w:t>88,046</w:t>
            </w:r>
          </w:p>
        </w:tc>
        <w:tc>
          <w:tcPr>
            <w:tcW w:w="330" w:type="dxa"/>
            <w:tcBorders/>
            <w:vAlign w:val="bottom"/>
          </w:tcPr>
          <w:p>
            <w:pPr>
              <w:pStyle w:val="TableContents"/>
              <w:bidi w:val="0"/>
              <w:spacing w:before="0" w:after="283"/>
              <w:jc w:val="left"/>
              <w:rPr/>
            </w:pPr>
            <w:r>
              <w:rPr/>
              <w:t> </w:t>
            </w:r>
          </w:p>
        </w:tc>
      </w:tr>
      <w:tr>
        <w:trPr/>
        <w:tc>
          <w:tcPr>
            <w:tcW w:w="1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60,623</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54,144</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51,749</w:t>
            </w:r>
          </w:p>
        </w:tc>
        <w:tc>
          <w:tcPr>
            <w:tcW w:w="3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47,907</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44,193</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36,765</w:t>
            </w:r>
          </w:p>
        </w:tc>
        <w:tc>
          <w:tcPr>
            <w:tcW w:w="330" w:type="dxa"/>
            <w:tcBorders/>
            <w:shd w:fill="CCEEFF" w:val="clear"/>
            <w:vAlign w:val="bottom"/>
          </w:tcPr>
          <w:p>
            <w:pPr>
              <w:pStyle w:val="TableContents"/>
              <w:bidi w:val="0"/>
              <w:spacing w:before="0" w:after="283"/>
              <w:jc w:val="left"/>
              <w:rPr/>
            </w:pPr>
            <w:r>
              <w:rPr/>
              <w:t> </w:t>
            </w:r>
          </w:p>
        </w:tc>
      </w:tr>
      <w:tr>
        <w:trPr/>
        <w:tc>
          <w:tcPr>
            <w:tcW w:w="198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19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GAAP Gross Profit</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28" w:type="dxa"/>
            <w:tcBorders/>
            <w:vAlign w:val="bottom"/>
          </w:tcPr>
          <w:p>
            <w:pPr>
              <w:pStyle w:val="TableContents"/>
              <w:bidi w:val="0"/>
              <w:spacing w:before="0" w:after="283"/>
              <w:jc w:val="right"/>
              <w:rPr>
                <w:b/>
              </w:rPr>
            </w:pPr>
            <w:r>
              <w:rPr>
                <w:b/>
              </w:rPr>
              <w:t>158,401</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28" w:type="dxa"/>
            <w:tcBorders/>
            <w:vAlign w:val="bottom"/>
          </w:tcPr>
          <w:p>
            <w:pPr>
              <w:pStyle w:val="TableContents"/>
              <w:bidi w:val="0"/>
              <w:spacing w:before="0" w:after="283"/>
              <w:jc w:val="right"/>
              <w:rPr>
                <w:b/>
              </w:rPr>
            </w:pPr>
            <w:r>
              <w:rPr>
                <w:b/>
              </w:rPr>
              <w:t>125,321</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28" w:type="dxa"/>
            <w:tcBorders/>
            <w:vAlign w:val="bottom"/>
          </w:tcPr>
          <w:p>
            <w:pPr>
              <w:pStyle w:val="TableContents"/>
              <w:bidi w:val="0"/>
              <w:spacing w:before="0" w:after="283"/>
              <w:jc w:val="right"/>
              <w:rPr>
                <w:b/>
              </w:rPr>
            </w:pPr>
            <w:r>
              <w:rPr>
                <w:b/>
              </w:rPr>
              <w:t>114,086</w:t>
            </w:r>
          </w:p>
        </w:tc>
        <w:tc>
          <w:tcPr>
            <w:tcW w:w="3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28" w:type="dxa"/>
            <w:tcBorders/>
            <w:vAlign w:val="bottom"/>
          </w:tcPr>
          <w:p>
            <w:pPr>
              <w:pStyle w:val="TableContents"/>
              <w:bidi w:val="0"/>
              <w:spacing w:before="0" w:after="283"/>
              <w:jc w:val="right"/>
              <w:rPr>
                <w:b/>
              </w:rPr>
            </w:pPr>
            <w:r>
              <w:rPr>
                <w:b/>
              </w:rPr>
              <w:t>100,642</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28" w:type="dxa"/>
            <w:tcBorders/>
            <w:vAlign w:val="bottom"/>
          </w:tcPr>
          <w:p>
            <w:pPr>
              <w:pStyle w:val="TableContents"/>
              <w:bidi w:val="0"/>
              <w:spacing w:before="0" w:after="283"/>
              <w:jc w:val="right"/>
              <w:rPr>
                <w:b/>
              </w:rPr>
            </w:pPr>
            <w:r>
              <w:rPr>
                <w:b/>
              </w:rPr>
              <w:t>66,867</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96" w:type="dxa"/>
            <w:tcBorders/>
            <w:vAlign w:val="bottom"/>
          </w:tcPr>
          <w:p>
            <w:pPr>
              <w:pStyle w:val="TableContents"/>
              <w:bidi w:val="0"/>
              <w:spacing w:before="0" w:after="283"/>
              <w:jc w:val="right"/>
              <w:rPr>
                <w:b/>
              </w:rPr>
            </w:pPr>
            <w:r>
              <w:rPr>
                <w:b/>
              </w:rPr>
              <w:t>51,281</w:t>
            </w:r>
          </w:p>
        </w:tc>
        <w:tc>
          <w:tcPr>
            <w:tcW w:w="330" w:type="dxa"/>
            <w:tcBorders/>
            <w:vAlign w:val="bottom"/>
          </w:tcPr>
          <w:p>
            <w:pPr>
              <w:pStyle w:val="TableContents"/>
              <w:bidi w:val="0"/>
              <w:spacing w:before="0" w:after="283"/>
              <w:jc w:val="left"/>
              <w:rPr/>
            </w:pPr>
            <w:r>
              <w:rPr/>
              <w:t> </w:t>
            </w:r>
          </w:p>
        </w:tc>
      </w:tr>
      <w:tr>
        <w:trPr/>
        <w:tc>
          <w:tcPr>
            <w:tcW w:w="198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19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GAAP Gross Margin</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b/>
              </w:rPr>
            </w:pPr>
            <w:r>
              <w:rPr>
                <w:b/>
              </w:rPr>
              <w:t>72</w:t>
            </w:r>
          </w:p>
        </w:tc>
        <w:tc>
          <w:tcPr>
            <w:tcW w:w="320"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b/>
              </w:rPr>
            </w:pPr>
            <w:r>
              <w:rPr>
                <w:b/>
              </w:rPr>
              <w:t>70</w:t>
            </w:r>
          </w:p>
        </w:tc>
        <w:tc>
          <w:tcPr>
            <w:tcW w:w="320"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b/>
              </w:rPr>
            </w:pPr>
            <w:r>
              <w:rPr>
                <w:b/>
              </w:rPr>
              <w:t>69</w:t>
            </w:r>
          </w:p>
        </w:tc>
        <w:tc>
          <w:tcPr>
            <w:tcW w:w="320" w:type="dxa"/>
            <w:tcBorders/>
            <w:shd w:fill="CCEEFF" w:val="clear"/>
            <w:vAlign w:val="bottom"/>
          </w:tcPr>
          <w:p>
            <w:pPr>
              <w:pStyle w:val="TableContents"/>
              <w:bidi w:val="0"/>
              <w:spacing w:before="0" w:after="283"/>
              <w:jc w:val="left"/>
              <w:rPr>
                <w:b/>
              </w:rPr>
            </w:pPr>
            <w:r>
              <w:rPr>
                <w:b/>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b/>
              </w:rPr>
            </w:pPr>
            <w:r>
              <w:rPr>
                <w:b/>
              </w:rPr>
              <w:t>68</w:t>
            </w:r>
          </w:p>
        </w:tc>
        <w:tc>
          <w:tcPr>
            <w:tcW w:w="320"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b/>
              </w:rPr>
            </w:pPr>
            <w:r>
              <w:rPr>
                <w:b/>
              </w:rPr>
              <w:t>60</w:t>
            </w:r>
          </w:p>
        </w:tc>
        <w:tc>
          <w:tcPr>
            <w:tcW w:w="320"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b/>
              </w:rPr>
            </w:pPr>
            <w:r>
              <w:rPr>
                <w:b/>
              </w:rPr>
              <w:t>58</w:t>
            </w:r>
          </w:p>
        </w:tc>
        <w:tc>
          <w:tcPr>
            <w:tcW w:w="330" w:type="dxa"/>
            <w:tcBorders/>
            <w:shd w:fill="CCEEFF" w:val="clear"/>
            <w:vAlign w:val="bottom"/>
          </w:tcPr>
          <w:p>
            <w:pPr>
              <w:pStyle w:val="TableContents"/>
              <w:bidi w:val="0"/>
              <w:spacing w:before="0" w:after="283"/>
              <w:jc w:val="left"/>
              <w:rPr>
                <w:b/>
              </w:rPr>
            </w:pPr>
            <w:r>
              <w:rPr>
                <w:b/>
              </w:rPr>
              <w:t>% </w:t>
            </w:r>
          </w:p>
        </w:tc>
      </w:tr>
      <w:tr>
        <w:trPr/>
        <w:tc>
          <w:tcPr>
            <w:tcW w:w="198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1980" w:type="dxa"/>
            <w:tcBorders/>
          </w:tcPr>
          <w:p>
            <w:pPr>
              <w:pStyle w:val="TableContents"/>
              <w:bidi w:val="0"/>
              <w:spacing w:before="0" w:after="0"/>
              <w:jc w:val="left"/>
              <w:rPr>
                <w:rFonts w:ascii="Times New Roman" w:hAnsi="Times New Roman"/>
                <w:b/>
                <w:sz w:val="20"/>
              </w:rPr>
            </w:pPr>
            <w:r>
              <w:rPr>
                <w:rFonts w:ascii="Times New Roman" w:hAnsi="Times New Roman"/>
                <w:b/>
                <w:sz w:val="20"/>
              </w:rPr>
              <w:t>Non-GAAP</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r>
      <w:tr>
        <w:trPr/>
        <w:tc>
          <w:tcPr>
            <w:tcW w:w="19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GAAP Gross Profit</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158,401</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125,321</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114,086</w:t>
            </w:r>
          </w:p>
        </w:tc>
        <w:tc>
          <w:tcPr>
            <w:tcW w:w="3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100,642</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66,867</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96" w:type="dxa"/>
            <w:tcBorders/>
            <w:shd w:fill="CCEEFF" w:val="clear"/>
            <w:vAlign w:val="bottom"/>
          </w:tcPr>
          <w:p>
            <w:pPr>
              <w:pStyle w:val="TableContents"/>
              <w:bidi w:val="0"/>
              <w:spacing w:before="0" w:after="283"/>
              <w:jc w:val="right"/>
              <w:rPr>
                <w:b/>
              </w:rPr>
            </w:pPr>
            <w:r>
              <w:rPr>
                <w:b/>
              </w:rPr>
              <w:t>51,281</w:t>
            </w:r>
          </w:p>
        </w:tc>
        <w:tc>
          <w:tcPr>
            <w:tcW w:w="330" w:type="dxa"/>
            <w:tcBorders/>
            <w:shd w:fill="CCEEFF" w:val="clear"/>
            <w:vAlign w:val="bottom"/>
          </w:tcPr>
          <w:p>
            <w:pPr>
              <w:pStyle w:val="TableContents"/>
              <w:bidi w:val="0"/>
              <w:spacing w:before="0" w:after="283"/>
              <w:jc w:val="left"/>
              <w:rPr/>
            </w:pPr>
            <w:r>
              <w:rPr/>
              <w:t> </w:t>
            </w:r>
          </w:p>
        </w:tc>
      </w:tr>
      <w:tr>
        <w:trPr/>
        <w:tc>
          <w:tcPr>
            <w:tcW w:w="1980"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to reconcile GAAP to non-GAAP Gross Profit:</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r>
      <w:tr>
        <w:trPr/>
        <w:tc>
          <w:tcPr>
            <w:tcW w:w="1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5,252</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5,087</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4,169</w:t>
            </w:r>
          </w:p>
        </w:tc>
        <w:tc>
          <w:tcPr>
            <w:tcW w:w="3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2,974</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2,563</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3,454</w:t>
            </w:r>
          </w:p>
        </w:tc>
        <w:tc>
          <w:tcPr>
            <w:tcW w:w="330" w:type="dxa"/>
            <w:tcBorders/>
            <w:shd w:fill="CCEEFF" w:val="clear"/>
            <w:vAlign w:val="bottom"/>
          </w:tcPr>
          <w:p>
            <w:pPr>
              <w:pStyle w:val="TableContents"/>
              <w:bidi w:val="0"/>
              <w:spacing w:before="0" w:after="283"/>
              <w:jc w:val="left"/>
              <w:rPr/>
            </w:pPr>
            <w:r>
              <w:rPr/>
              <w:t> </w:t>
            </w:r>
          </w:p>
        </w:tc>
      </w:tr>
      <w:tr>
        <w:trPr/>
        <w:tc>
          <w:tcPr>
            <w:tcW w:w="1980"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technology under costs of revenues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3,671</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2,335</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2,266</w:t>
            </w:r>
          </w:p>
        </w:tc>
        <w:tc>
          <w:tcPr>
            <w:tcW w:w="3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2,214</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2,079</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705</w:t>
            </w:r>
          </w:p>
        </w:tc>
        <w:tc>
          <w:tcPr>
            <w:tcW w:w="330" w:type="dxa"/>
            <w:tcBorders/>
            <w:vAlign w:val="bottom"/>
          </w:tcPr>
          <w:p>
            <w:pPr>
              <w:pStyle w:val="TableContents"/>
              <w:bidi w:val="0"/>
              <w:spacing w:before="0" w:after="283"/>
              <w:jc w:val="left"/>
              <w:rPr/>
            </w:pPr>
            <w:r>
              <w:rPr/>
              <w:t> </w:t>
            </w:r>
          </w:p>
        </w:tc>
      </w:tr>
      <w:tr>
        <w:trPr/>
        <w:tc>
          <w:tcPr>
            <w:tcW w:w="198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19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Gross Profit</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167,324</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132,743</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120,521</w:t>
            </w:r>
          </w:p>
        </w:tc>
        <w:tc>
          <w:tcPr>
            <w:tcW w:w="3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105,830</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71,509</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96" w:type="dxa"/>
            <w:tcBorders/>
            <w:shd w:fill="CCEEFF" w:val="clear"/>
            <w:vAlign w:val="bottom"/>
          </w:tcPr>
          <w:p>
            <w:pPr>
              <w:pStyle w:val="TableContents"/>
              <w:bidi w:val="0"/>
              <w:spacing w:before="0" w:after="283"/>
              <w:jc w:val="right"/>
              <w:rPr>
                <w:b/>
              </w:rPr>
            </w:pPr>
            <w:r>
              <w:rPr>
                <w:b/>
              </w:rPr>
              <w:t>55,440</w:t>
            </w:r>
          </w:p>
        </w:tc>
        <w:tc>
          <w:tcPr>
            <w:tcW w:w="330" w:type="dxa"/>
            <w:tcBorders/>
            <w:shd w:fill="CCEEFF" w:val="clear"/>
            <w:vAlign w:val="bottom"/>
          </w:tcPr>
          <w:p>
            <w:pPr>
              <w:pStyle w:val="TableContents"/>
              <w:bidi w:val="0"/>
              <w:spacing w:before="0" w:after="283"/>
              <w:jc w:val="left"/>
              <w:rPr/>
            </w:pPr>
            <w:r>
              <w:rPr/>
              <w:t> </w:t>
            </w:r>
          </w:p>
        </w:tc>
      </w:tr>
      <w:tr>
        <w:trPr/>
        <w:tc>
          <w:tcPr>
            <w:tcW w:w="198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19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Gross Margin</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b/>
              </w:rPr>
            </w:pPr>
            <w:r>
              <w:rPr>
                <w:b/>
              </w:rPr>
              <w:t>76</w:t>
            </w:r>
          </w:p>
        </w:tc>
        <w:tc>
          <w:tcPr>
            <w:tcW w:w="320"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b/>
              </w:rPr>
            </w:pPr>
            <w:r>
              <w:rPr>
                <w:b/>
              </w:rPr>
              <w:t>74</w:t>
            </w:r>
          </w:p>
        </w:tc>
        <w:tc>
          <w:tcPr>
            <w:tcW w:w="320"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b/>
              </w:rPr>
            </w:pPr>
            <w:r>
              <w:rPr>
                <w:b/>
              </w:rPr>
              <w:t>73</w:t>
            </w:r>
          </w:p>
        </w:tc>
        <w:tc>
          <w:tcPr>
            <w:tcW w:w="320"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b/>
              </w:rPr>
            </w:pPr>
            <w:r>
              <w:rPr>
                <w:b/>
              </w:rPr>
              <w:t>71</w:t>
            </w:r>
          </w:p>
        </w:tc>
        <w:tc>
          <w:tcPr>
            <w:tcW w:w="320"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b/>
              </w:rPr>
            </w:pPr>
            <w:r>
              <w:rPr>
                <w:b/>
              </w:rPr>
              <w:t>64</w:t>
            </w:r>
          </w:p>
        </w:tc>
        <w:tc>
          <w:tcPr>
            <w:tcW w:w="320"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b/>
              </w:rPr>
            </w:pPr>
            <w:r>
              <w:rPr>
                <w:b/>
              </w:rPr>
              <w:t>63</w:t>
            </w:r>
          </w:p>
        </w:tc>
        <w:tc>
          <w:tcPr>
            <w:tcW w:w="330" w:type="dxa"/>
            <w:tcBorders/>
            <w:vAlign w:val="bottom"/>
          </w:tcPr>
          <w:p>
            <w:pPr>
              <w:pStyle w:val="TableContents"/>
              <w:bidi w:val="0"/>
              <w:spacing w:before="0" w:after="283"/>
              <w:jc w:val="left"/>
              <w:rPr>
                <w:b/>
              </w:rPr>
            </w:pPr>
            <w:r>
              <w:rPr>
                <w:b/>
              </w:rPr>
              <w:t>% </w:t>
            </w:r>
          </w:p>
        </w:tc>
      </w:tr>
      <w:tr>
        <w:trPr/>
        <w:tc>
          <w:tcPr>
            <w:tcW w:w="198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GAAP to Non-GAAP Reconciliation of Operating Margin </w:t>
      </w:r>
    </w:p>
    <w:p>
      <w:pPr>
        <w:pStyle w:val="TextBody"/>
        <w:bidi w:val="0"/>
        <w:spacing w:before="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w:t>
      </w:r>
    </w:p>
    <w:p>
      <w:pPr>
        <w:pStyle w:val="TextBody"/>
        <w:bidi w:val="0"/>
        <w:spacing w:before="0" w:after="0"/>
        <w:jc w:val="left"/>
        <w:rPr>
          <w:bdr w:val="single" w:sz="8" w:space="1" w:color="000000"/>
        </w:rPr>
      </w:pPr>
      <w:r>
        <w:rPr>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1970"/>
        <w:gridCol w:w="120"/>
        <w:gridCol w:w="140"/>
        <w:gridCol w:w="800"/>
        <w:gridCol w:w="320"/>
        <w:gridCol w:w="60"/>
        <w:gridCol w:w="140"/>
        <w:gridCol w:w="800"/>
        <w:gridCol w:w="320"/>
        <w:gridCol w:w="60"/>
        <w:gridCol w:w="140"/>
        <w:gridCol w:w="800"/>
        <w:gridCol w:w="395"/>
        <w:gridCol w:w="60"/>
        <w:gridCol w:w="140"/>
        <w:gridCol w:w="800"/>
        <w:gridCol w:w="395"/>
        <w:gridCol w:w="60"/>
        <w:gridCol w:w="140"/>
        <w:gridCol w:w="800"/>
        <w:gridCol w:w="395"/>
        <w:gridCol w:w="60"/>
        <w:gridCol w:w="215"/>
        <w:gridCol w:w="680"/>
        <w:gridCol w:w="39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r>
      <w:tr>
        <w:trPr/>
        <w:tc>
          <w:tcPr>
            <w:tcW w:w="19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2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395" w:type="dxa"/>
            <w:tcBorders/>
            <w:vAlign w:val="bottom"/>
          </w:tcPr>
          <w:p>
            <w:pPr>
              <w:pStyle w:val="TableContents"/>
              <w:bidi w:val="0"/>
              <w:spacing w:before="0" w:after="283"/>
              <w:jc w:val="left"/>
              <w:rPr/>
            </w:pPr>
            <w:r>
              <w:rPr/>
              <w:t> </w:t>
            </w:r>
          </w:p>
        </w:tc>
      </w:tr>
      <w:tr>
        <w:trPr/>
        <w:tc>
          <w:tcPr>
            <w:tcW w:w="19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395" w:type="dxa"/>
            <w:tcBorders/>
            <w:vAlign w:val="bottom"/>
          </w:tcPr>
          <w:p>
            <w:pPr>
              <w:pStyle w:val="TableContents"/>
              <w:bidi w:val="0"/>
              <w:spacing w:before="0" w:after="283"/>
              <w:jc w:val="left"/>
              <w:rPr/>
            </w:pPr>
            <w:r>
              <w:rPr/>
              <w:t> </w:t>
            </w:r>
          </w:p>
        </w:tc>
      </w:tr>
      <w:tr>
        <w:trPr/>
        <w:tc>
          <w:tcPr>
            <w:tcW w:w="197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219,024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179,465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165,835</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148,549</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111,060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88,046</w:t>
            </w:r>
          </w:p>
        </w:tc>
        <w:tc>
          <w:tcPr>
            <w:tcW w:w="395" w:type="dxa"/>
            <w:tcBorders/>
            <w:shd w:fill="CCEEFF" w:val="clear"/>
            <w:vAlign w:val="bottom"/>
          </w:tcPr>
          <w:p>
            <w:pPr>
              <w:pStyle w:val="TableContents"/>
              <w:bidi w:val="0"/>
              <w:spacing w:before="0" w:after="283"/>
              <w:jc w:val="left"/>
              <w:rPr/>
            </w:pPr>
            <w:r>
              <w:rPr/>
              <w:t> </w:t>
            </w:r>
          </w:p>
        </w:tc>
      </w:tr>
      <w:tr>
        <w:trPr/>
        <w:tc>
          <w:tcPr>
            <w:tcW w:w="1970"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Cost of Revenue - GAAP</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60,623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54,144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51,749</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47,907</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44,193</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36,765</w:t>
            </w:r>
          </w:p>
        </w:tc>
        <w:tc>
          <w:tcPr>
            <w:tcW w:w="395"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GAAP Cost of Revenue to Non-GAAP Cost of Revenue: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r>
      <w:tr>
        <w:trPr/>
        <w:tc>
          <w:tcPr>
            <w:tcW w:w="1970" w:type="dxa"/>
            <w:tcBorders/>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(5,252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(5,087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(4,169</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(2,974</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(2,563</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(3,454</w:t>
            </w:r>
          </w:p>
        </w:tc>
        <w:tc>
          <w:tcPr>
            <w:tcW w:w="395"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Amortization of acquired intangible assets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(3,671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(2,335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(2,266</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(2,214</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(2,079</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(705</w:t>
            </w:r>
          </w:p>
        </w:tc>
        <w:tc>
          <w:tcPr>
            <w:tcW w:w="395" w:type="dxa"/>
            <w:tcBorders/>
            <w:shd w:fill="CCEEFF" w:val="clear"/>
            <w:vAlign w:val="bottom"/>
          </w:tcPr>
          <w:p>
            <w:pPr>
              <w:pStyle w:val="TableContents"/>
              <w:bidi w:val="0"/>
              <w:spacing w:before="0" w:after="283"/>
              <w:jc w:val="left"/>
              <w:rPr/>
            </w:pPr>
            <w:r>
              <w:rPr/>
              <w:t>) </w:t>
            </w:r>
          </w:p>
        </w:tc>
      </w:tr>
      <w:tr>
        <w:trPr/>
        <w:tc>
          <w:tcPr>
            <w:tcW w:w="19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r>
      <w:tr>
        <w:trPr/>
        <w:tc>
          <w:tcPr>
            <w:tcW w:w="1970"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Cost of Revenue - Non-GAAP</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51,700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46,722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45,314</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42,719</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39,551</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32,606</w:t>
            </w:r>
          </w:p>
        </w:tc>
        <w:tc>
          <w:tcPr>
            <w:tcW w:w="395" w:type="dxa"/>
            <w:tcBorders/>
            <w:vAlign w:val="bottom"/>
          </w:tcPr>
          <w:p>
            <w:pPr>
              <w:pStyle w:val="TableContents"/>
              <w:bidi w:val="0"/>
              <w:spacing w:before="0" w:after="283"/>
              <w:jc w:val="left"/>
              <w:rPr/>
            </w:pPr>
            <w:r>
              <w:rPr/>
              <w:t> </w:t>
            </w:r>
          </w:p>
        </w:tc>
      </w:tr>
      <w:tr>
        <w:trPr/>
        <w:tc>
          <w:tcPr>
            <w:tcW w:w="197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Research &amp; Development – GAAP</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64,234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53,566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50,736</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56,126</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43,780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34,654</w:t>
            </w:r>
          </w:p>
        </w:tc>
        <w:tc>
          <w:tcPr>
            <w:tcW w:w="395"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sz w:val="18"/>
              </w:rPr>
            </w:pPr>
            <w:r>
              <w:rPr>
                <w:rFonts w:ascii="Times New Roman" w:hAnsi="Times New Roman"/>
                <w:sz w:val="18"/>
              </w:rPr>
              <w:t>Adjustments to reconcile GAAP R&amp;D to Non-GAAP R&amp;D:</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r>
      <w:tr>
        <w:trPr/>
        <w:tc>
          <w:tcPr>
            <w:tcW w:w="19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(9,460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(8,958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(7,711</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(9,391</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(5,515</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(4,800</w:t>
            </w:r>
          </w:p>
        </w:tc>
        <w:tc>
          <w:tcPr>
            <w:tcW w:w="395"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sz w:val="18"/>
              </w:rPr>
            </w:pPr>
            <w:r>
              <w:rPr>
                <w:rFonts w:ascii="Times New Roman" w:hAnsi="Times New Roman"/>
                <w:sz w:val="18"/>
              </w:rPr>
              <w:t>Write-down in value of property and equipment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(328</w:t>
            </w:r>
          </w:p>
        </w:tc>
        <w:tc>
          <w:tcPr>
            <w:tcW w:w="395" w:type="dxa"/>
            <w:tcBorders/>
            <w:vAlign w:val="bottom"/>
          </w:tcPr>
          <w:p>
            <w:pPr>
              <w:pStyle w:val="TableContents"/>
              <w:bidi w:val="0"/>
              <w:spacing w:before="0" w:after="283"/>
              <w:jc w:val="left"/>
              <w:rPr/>
            </w:pPr>
            <w:r>
              <w:rPr/>
              <w:t>) </w:t>
            </w:r>
          </w:p>
        </w:tc>
      </w:tr>
      <w:tr>
        <w:trPr/>
        <w:tc>
          <w:tcPr>
            <w:tcW w:w="19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r>
      <w:tr>
        <w:trPr/>
        <w:tc>
          <w:tcPr>
            <w:tcW w:w="197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Research &amp; Development - Non-GAAP</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54,774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44,608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43,025</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46,735</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38,265</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29,526</w:t>
            </w:r>
          </w:p>
        </w:tc>
        <w:tc>
          <w:tcPr>
            <w:tcW w:w="395"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b/>
                <w:sz w:val="18"/>
              </w:rPr>
            </w:pPr>
            <w:r>
              <w:rPr>
                <w:rFonts w:ascii="Times New Roman" w:hAnsi="Times New Roman"/>
                <w:b/>
                <w:sz w:val="18"/>
              </w:rPr>
              <w:t>Selling, General, &amp; Administrative - GAAP</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84,736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69,924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62,216</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45,338</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37,649</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32,677</w:t>
            </w:r>
          </w:p>
        </w:tc>
        <w:tc>
          <w:tcPr>
            <w:tcW w:w="395"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GAAP SG&amp;A to Non-GAAP SG&amp;A:</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r>
      <w:tr>
        <w:trPr/>
        <w:tc>
          <w:tcPr>
            <w:tcW w:w="1970" w:type="dxa"/>
            <w:tcBorders/>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(11,213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(11,002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(9,604</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(7,284</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(4,853</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(4,209</w:t>
            </w:r>
          </w:p>
        </w:tc>
        <w:tc>
          <w:tcPr>
            <w:tcW w:w="395"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Expenses for certain legal</w:t>
              <w:br/>
              <w:t>proceedings (1)</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(2,971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(69</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(2,600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(1,895</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(1,951</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(1,098</w:t>
            </w:r>
          </w:p>
        </w:tc>
        <w:tc>
          <w:tcPr>
            <w:tcW w:w="395"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sz w:val="18"/>
              </w:rPr>
            </w:pPr>
            <w:r>
              <w:rPr>
                <w:rFonts w:ascii="Times New Roman" w:hAnsi="Times New Roman"/>
                <w:sz w:val="18"/>
              </w:rPr>
              <w:t>Write-down in value of property and equipment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(162</w:t>
            </w:r>
          </w:p>
        </w:tc>
        <w:tc>
          <w:tcPr>
            <w:tcW w:w="395"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Acquisition-related and integration costs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(4,528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(940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(209</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(752</w:t>
            </w:r>
          </w:p>
        </w:tc>
        <w:tc>
          <w:tcPr>
            <w:tcW w:w="395" w:type="dxa"/>
            <w:tcBorders/>
            <w:shd w:fill="CCEEFF" w:val="clear"/>
            <w:vAlign w:val="bottom"/>
          </w:tcPr>
          <w:p>
            <w:pPr>
              <w:pStyle w:val="TableContents"/>
              <w:bidi w:val="0"/>
              <w:spacing w:before="0" w:after="283"/>
              <w:jc w:val="left"/>
              <w:rPr/>
            </w:pPr>
            <w:r>
              <w:rPr/>
              <w:t>) </w:t>
            </w:r>
          </w:p>
        </w:tc>
      </w:tr>
      <w:tr>
        <w:trPr/>
        <w:tc>
          <w:tcPr>
            <w:tcW w:w="19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b/>
                <w:sz w:val="18"/>
              </w:rPr>
            </w:pPr>
            <w:r>
              <w:rPr>
                <w:rFonts w:ascii="Times New Roman" w:hAnsi="Times New Roman"/>
                <w:b/>
                <w:sz w:val="18"/>
              </w:rPr>
              <w:t>Selling, General, &amp; Administrative - Non-GAAP</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66,024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57,913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49,803</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36,159</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30,845</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26,456</w:t>
            </w:r>
          </w:p>
        </w:tc>
        <w:tc>
          <w:tcPr>
            <w:tcW w:w="395"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Amortization of acquired intangible assets - GAAP</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3,584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896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1,285</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1,270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1,255</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741</w:t>
            </w:r>
          </w:p>
        </w:tc>
        <w:tc>
          <w:tcPr>
            <w:tcW w:w="395"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b/>
                <w:sz w:val="18"/>
              </w:rPr>
            </w:pPr>
            <w:r>
              <w:rPr>
                <w:rFonts w:ascii="Times New Roman" w:hAnsi="Times New Roman"/>
                <w:b/>
                <w:sz w:val="18"/>
              </w:rPr>
              <w:t>Amortization of acquired intangible assets - Non-GAAP</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Write-down in value of property and equipment - GAAP</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3,183</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b/>
                <w:sz w:val="18"/>
              </w:rPr>
            </w:pPr>
            <w:r>
              <w:rPr>
                <w:rFonts w:ascii="Times New Roman" w:hAnsi="Times New Roman"/>
                <w:b/>
                <w:sz w:val="18"/>
              </w:rPr>
              <w:t>Write-down in value of property and equipment - Non-GAAP</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r>
      <w:tr>
        <w:trPr/>
        <w:tc>
          <w:tcPr>
            <w:tcW w:w="19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r>
      <w:tr>
        <w:trPr/>
        <w:tc>
          <w:tcPr>
            <w:tcW w:w="197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Operating Income (Loss) - GAAP</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5,847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935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151</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2,092</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19,000</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16,791</w:t>
            </w:r>
          </w:p>
        </w:tc>
        <w:tc>
          <w:tcPr>
            <w:tcW w:w="395" w:type="dxa"/>
            <w:tcBorders/>
            <w:shd w:fill="CCEEFF" w:val="clear"/>
            <w:vAlign w:val="bottom"/>
          </w:tcPr>
          <w:p>
            <w:pPr>
              <w:pStyle w:val="TableContents"/>
              <w:bidi w:val="0"/>
              <w:spacing w:before="0" w:after="283"/>
              <w:jc w:val="left"/>
              <w:rPr>
                <w:b/>
              </w:rPr>
            </w:pPr>
            <w:r>
              <w:rPr>
                <w:b/>
              </w:rPr>
              <w:t>) </w:t>
            </w:r>
          </w:p>
        </w:tc>
      </w:tr>
      <w:tr>
        <w:trPr/>
        <w:tc>
          <w:tcPr>
            <w:tcW w:w="1970"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Operating Margin - GAAP</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3</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(0</w:t>
            </w:r>
          </w:p>
        </w:tc>
        <w:tc>
          <w:tcPr>
            <w:tcW w:w="39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w:t>
            </w:r>
          </w:p>
        </w:tc>
        <w:tc>
          <w:tcPr>
            <w:tcW w:w="39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(17</w:t>
            </w:r>
          </w:p>
        </w:tc>
        <w:tc>
          <w:tcPr>
            <w:tcW w:w="39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(19</w:t>
            </w:r>
          </w:p>
        </w:tc>
        <w:tc>
          <w:tcPr>
            <w:tcW w:w="395" w:type="dxa"/>
            <w:tcBorders/>
            <w:vAlign w:val="bottom"/>
          </w:tcPr>
          <w:p>
            <w:pPr>
              <w:pStyle w:val="TableContents"/>
              <w:bidi w:val="0"/>
              <w:spacing w:before="0" w:after="283"/>
              <w:jc w:val="left"/>
              <w:rPr>
                <w:b/>
              </w:rPr>
            </w:pPr>
            <w:r>
              <w:rPr>
                <w:b/>
              </w:rPr>
              <w:t>%) </w:t>
            </w:r>
          </w:p>
        </w:tc>
      </w:tr>
      <w:tr>
        <w:trPr/>
        <w:tc>
          <w:tcPr>
            <w:tcW w:w="19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Operating Income (Loss) - Non-GAAP</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46,526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30,222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27,693</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22,936</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2,399</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542</w:t>
            </w:r>
          </w:p>
        </w:tc>
        <w:tc>
          <w:tcPr>
            <w:tcW w:w="395" w:type="dxa"/>
            <w:tcBorders/>
            <w:shd w:fill="CCEEFF" w:val="clear"/>
            <w:vAlign w:val="bottom"/>
          </w:tcPr>
          <w:p>
            <w:pPr>
              <w:pStyle w:val="TableContents"/>
              <w:bidi w:val="0"/>
              <w:spacing w:before="0" w:after="283"/>
              <w:jc w:val="left"/>
              <w:rPr>
                <w:b/>
              </w:rPr>
            </w:pPr>
            <w:r>
              <w:rPr>
                <w:b/>
              </w:rPr>
              <w:t>) </w:t>
            </w:r>
          </w:p>
        </w:tc>
      </w:tr>
      <w:tr>
        <w:trPr/>
        <w:tc>
          <w:tcPr>
            <w:tcW w:w="1970" w:type="dxa"/>
            <w:tcBorders/>
          </w:tcPr>
          <w:p>
            <w:pPr>
              <w:pStyle w:val="TableContents"/>
              <w:bidi w:val="0"/>
              <w:spacing w:before="0" w:after="0"/>
              <w:jc w:val="left"/>
              <w:rPr>
                <w:rFonts w:ascii="Times New Roman" w:hAnsi="Times New Roman"/>
                <w:b/>
                <w:sz w:val="18"/>
              </w:rPr>
            </w:pPr>
            <w:r>
              <w:rPr>
                <w:rFonts w:ascii="Times New Roman" w:hAnsi="Times New Roman"/>
                <w:b/>
                <w:sz w:val="18"/>
              </w:rPr>
              <w:t>Operating Margin - Non-GAAP</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21</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17</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17</w:t>
            </w:r>
          </w:p>
        </w:tc>
        <w:tc>
          <w:tcPr>
            <w:tcW w:w="39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15</w:t>
            </w:r>
          </w:p>
        </w:tc>
        <w:tc>
          <w:tcPr>
            <w:tcW w:w="39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w:t>
            </w:r>
          </w:p>
        </w:tc>
        <w:tc>
          <w:tcPr>
            <w:tcW w:w="39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(1</w:t>
            </w:r>
          </w:p>
        </w:tc>
        <w:tc>
          <w:tcPr>
            <w:tcW w:w="395" w:type="dxa"/>
            <w:tcBorders/>
            <w:vAlign w:val="bottom"/>
          </w:tcPr>
          <w:p>
            <w:pPr>
              <w:pStyle w:val="TableContents"/>
              <w:bidi w:val="0"/>
              <w:spacing w:before="0" w:after="283"/>
              <w:jc w:val="left"/>
              <w:rPr>
                <w:b/>
              </w:rPr>
            </w:pPr>
            <w:r>
              <w:rPr>
                <w:b/>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legal costs and expenses related to a certain litigation and an arbitration proceeding, which are expected to continue until these matters are resolved.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GAAP to Non-GAAP Reconciliation of EPS </w:t>
      </w:r>
    </w:p>
    <w:p>
      <w:pPr>
        <w:pStyle w:val="TextBody"/>
        <w:bidi w:val="0"/>
        <w:spacing w:before="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except per share amounts)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935"/>
        <w:gridCol w:w="165"/>
        <w:gridCol w:w="215"/>
        <w:gridCol w:w="708"/>
        <w:gridCol w:w="155"/>
        <w:gridCol w:w="114"/>
        <w:gridCol w:w="140"/>
        <w:gridCol w:w="708"/>
        <w:gridCol w:w="155"/>
        <w:gridCol w:w="114"/>
        <w:gridCol w:w="140"/>
        <w:gridCol w:w="708"/>
        <w:gridCol w:w="155"/>
        <w:gridCol w:w="114"/>
        <w:gridCol w:w="215"/>
        <w:gridCol w:w="707"/>
        <w:gridCol w:w="155"/>
        <w:gridCol w:w="114"/>
        <w:gridCol w:w="215"/>
        <w:gridCol w:w="708"/>
        <w:gridCol w:w="362"/>
        <w:gridCol w:w="114"/>
        <w:gridCol w:w="215"/>
        <w:gridCol w:w="708"/>
        <w:gridCol w:w="166"/>
      </w:tblGrid>
      <w:tr>
        <w:trPr/>
        <w:tc>
          <w:tcPr>
            <w:tcW w:w="2935"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3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939"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6" w:type="dxa"/>
            <w:tcBorders/>
            <w:vAlign w:val="bottom"/>
          </w:tcPr>
          <w:p>
            <w:pPr>
              <w:pStyle w:val="TableContents"/>
              <w:bidi w:val="0"/>
              <w:spacing w:before="0" w:after="283"/>
              <w:jc w:val="left"/>
              <w:rPr/>
            </w:pPr>
            <w:r>
              <w:rPr/>
              <w:t> </w:t>
            </w:r>
          </w:p>
        </w:tc>
      </w:tr>
      <w:tr>
        <w:trPr/>
        <w:tc>
          <w:tcPr>
            <w:tcW w:w="293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36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6" w:type="dxa"/>
            <w:tcBorders/>
            <w:vAlign w:val="bottom"/>
          </w:tcPr>
          <w:p>
            <w:pPr>
              <w:pStyle w:val="TableContents"/>
              <w:bidi w:val="0"/>
              <w:spacing w:before="0" w:after="283"/>
              <w:jc w:val="left"/>
              <w:rPr/>
            </w:pPr>
            <w:r>
              <w:rPr/>
              <w:t> </w:t>
            </w:r>
          </w:p>
        </w:tc>
      </w:tr>
      <w:tr>
        <w:trPr/>
        <w:tc>
          <w:tcPr>
            <w:tcW w:w="293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GAAP Net Income (Loss)</w:t>
            </w:r>
          </w:p>
        </w:tc>
        <w:tc>
          <w:tcPr>
            <w:tcW w:w="16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640</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4,057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3,105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707" w:type="dxa"/>
            <w:tcBorders/>
            <w:shd w:fill="CCEEFF" w:val="clear"/>
            <w:vAlign w:val="bottom"/>
          </w:tcPr>
          <w:p>
            <w:pPr>
              <w:pStyle w:val="TableContents"/>
              <w:bidi w:val="0"/>
              <w:spacing w:before="0" w:after="283"/>
              <w:jc w:val="right"/>
              <w:rPr>
                <w:b/>
              </w:rPr>
            </w:pPr>
            <w:r>
              <w:rPr>
                <w:b/>
              </w:rPr>
              <w:t>3,429</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21,488</w:t>
            </w:r>
          </w:p>
        </w:tc>
        <w:tc>
          <w:tcPr>
            <w:tcW w:w="362"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40,363</w:t>
            </w:r>
          </w:p>
        </w:tc>
        <w:tc>
          <w:tcPr>
            <w:tcW w:w="166" w:type="dxa"/>
            <w:tcBorders/>
            <w:shd w:fill="CCEEFF" w:val="clear"/>
            <w:vAlign w:val="bottom"/>
          </w:tcPr>
          <w:p>
            <w:pPr>
              <w:pStyle w:val="TableContents"/>
              <w:bidi w:val="0"/>
              <w:spacing w:before="0" w:after="283"/>
              <w:jc w:val="left"/>
              <w:rPr>
                <w:b/>
              </w:rPr>
            </w:pPr>
            <w:r>
              <w:rPr>
                <w:b/>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to reconcile GAAP Net Income (Loss) to non-GAAP Net Income</w:t>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7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7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708"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708"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6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25,925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25,047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21,484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19,649</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12,931</w:t>
            </w:r>
          </w:p>
        </w:tc>
        <w:tc>
          <w:tcPr>
            <w:tcW w:w="36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12,463</w:t>
            </w:r>
          </w:p>
        </w:tc>
        <w:tc>
          <w:tcPr>
            <w:tcW w:w="166"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7,255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3,231</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3,551</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3,484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3,334</w:t>
            </w:r>
          </w:p>
        </w:tc>
        <w:tc>
          <w:tcPr>
            <w:tcW w:w="36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1,446</w:t>
            </w:r>
          </w:p>
        </w:tc>
        <w:tc>
          <w:tcPr>
            <w:tcW w:w="166"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Expenses for certain legal proceedings (1)</w:t>
            </w:r>
          </w:p>
        </w:tc>
        <w:tc>
          <w:tcPr>
            <w:tcW w:w="16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2,971</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69</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2,600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1,895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1,951</w:t>
            </w:r>
          </w:p>
        </w:tc>
        <w:tc>
          <w:tcPr>
            <w:tcW w:w="36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1,098</w:t>
            </w:r>
          </w:p>
        </w:tc>
        <w:tc>
          <w:tcPr>
            <w:tcW w:w="166"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Acquisition-related and integration costs</w:t>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4,528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940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209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36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752</w:t>
            </w:r>
          </w:p>
        </w:tc>
        <w:tc>
          <w:tcPr>
            <w:tcW w:w="166"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damaged equipment in-transit, net of (recovery) from previously written-off property and equipment</w:t>
            </w:r>
          </w:p>
        </w:tc>
        <w:tc>
          <w:tcPr>
            <w:tcW w:w="16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(663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608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(105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36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Write-down in value of property and equipment</w:t>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3,183</w:t>
            </w:r>
          </w:p>
        </w:tc>
        <w:tc>
          <w:tcPr>
            <w:tcW w:w="362" w:type="dxa"/>
            <w:tcBorders/>
            <w:vAlign w:val="bottom"/>
          </w:tcPr>
          <w:p>
            <w:pPr>
              <w:pStyle w:val="TableContents"/>
              <w:bidi w:val="0"/>
              <w:spacing w:before="0" w:after="283"/>
              <w:jc w:val="left"/>
              <w:rPr/>
            </w:pPr>
            <w:r>
              <w:rPr/>
              <w:t>(2)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490</w:t>
            </w:r>
          </w:p>
        </w:tc>
        <w:tc>
          <w:tcPr>
            <w:tcW w:w="166"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16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185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36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Impact of the CARES Act (3) </w:t>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36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(1,162</w:t>
            </w:r>
          </w:p>
        </w:tc>
        <w:tc>
          <w:tcPr>
            <w:tcW w:w="166"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impact of valuation allowance for deferred tax assets and reconciling items (4)</w:t>
            </w:r>
          </w:p>
        </w:tc>
        <w:tc>
          <w:tcPr>
            <w:tcW w:w="16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(2,330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(1,335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(2,374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1,326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3,091</w:t>
            </w:r>
          </w:p>
        </w:tc>
        <w:tc>
          <w:tcPr>
            <w:tcW w:w="36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24,471</w:t>
            </w:r>
          </w:p>
        </w:tc>
        <w:tc>
          <w:tcPr>
            <w:tcW w:w="166" w:type="dxa"/>
            <w:tcBorders/>
            <w:shd w:fill="CCEEFF" w:val="clear"/>
            <w:vAlign w:val="bottom"/>
          </w:tcPr>
          <w:p>
            <w:pPr>
              <w:pStyle w:val="TableContents"/>
              <w:bidi w:val="0"/>
              <w:spacing w:before="0" w:after="283"/>
              <w:jc w:val="left"/>
              <w:rPr/>
            </w:pPr>
            <w:r>
              <w:rPr/>
              <w:t> </w:t>
            </w:r>
          </w:p>
        </w:tc>
      </w:tr>
      <w:tr>
        <w:trPr/>
        <w:tc>
          <w:tcPr>
            <w:tcW w:w="293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93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Net Income (Loss)</w:t>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37,231</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32,617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28,470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707" w:type="dxa"/>
            <w:tcBorders/>
            <w:vAlign w:val="bottom"/>
          </w:tcPr>
          <w:p>
            <w:pPr>
              <w:pStyle w:val="TableContents"/>
              <w:bidi w:val="0"/>
              <w:spacing w:before="0" w:after="283"/>
              <w:jc w:val="right"/>
              <w:rPr>
                <w:b/>
              </w:rPr>
            </w:pPr>
            <w:r>
              <w:rPr>
                <w:b/>
              </w:rPr>
              <w:t>22,925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3,002</w:t>
            </w:r>
          </w:p>
        </w:tc>
        <w:tc>
          <w:tcPr>
            <w:tcW w:w="36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805</w:t>
            </w:r>
          </w:p>
        </w:tc>
        <w:tc>
          <w:tcPr>
            <w:tcW w:w="166" w:type="dxa"/>
            <w:tcBorders/>
            <w:vAlign w:val="bottom"/>
          </w:tcPr>
          <w:p>
            <w:pPr>
              <w:pStyle w:val="TableContents"/>
              <w:bidi w:val="0"/>
              <w:spacing w:before="0" w:after="283"/>
              <w:jc w:val="left"/>
              <w:rPr>
                <w:b/>
              </w:rPr>
            </w:pPr>
            <w:r>
              <w:rPr>
                <w:b/>
              </w:rPr>
              <w:t>) </w:t>
            </w:r>
          </w:p>
        </w:tc>
      </w:tr>
      <w:tr>
        <w:trPr/>
        <w:tc>
          <w:tcPr>
            <w:tcW w:w="293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 Net Income (Loss) Per Diluted Share</w:t>
            </w:r>
          </w:p>
        </w:tc>
        <w:tc>
          <w:tcPr>
            <w:tcW w:w="16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0.02</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0.10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0.08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707" w:type="dxa"/>
            <w:tcBorders/>
            <w:shd w:fill="CCEEFF" w:val="clear"/>
            <w:vAlign w:val="bottom"/>
          </w:tcPr>
          <w:p>
            <w:pPr>
              <w:pStyle w:val="TableContents"/>
              <w:bidi w:val="0"/>
              <w:spacing w:before="0" w:after="283"/>
              <w:jc w:val="right"/>
              <w:rPr>
                <w:b/>
              </w:rPr>
            </w:pPr>
            <w:r>
              <w:rPr>
                <w:b/>
              </w:rPr>
              <w:t>0.09</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0.58</w:t>
            </w:r>
          </w:p>
        </w:tc>
        <w:tc>
          <w:tcPr>
            <w:tcW w:w="362"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1.17</w:t>
            </w:r>
          </w:p>
        </w:tc>
        <w:tc>
          <w:tcPr>
            <w:tcW w:w="166" w:type="dxa"/>
            <w:tcBorders/>
            <w:shd w:fill="CCEEFF" w:val="clear"/>
            <w:vAlign w:val="bottom"/>
          </w:tcPr>
          <w:p>
            <w:pPr>
              <w:pStyle w:val="TableContents"/>
              <w:bidi w:val="0"/>
              <w:spacing w:before="0" w:after="283"/>
              <w:jc w:val="left"/>
              <w:rPr>
                <w:b/>
              </w:rPr>
            </w:pPr>
            <w:r>
              <w:rPr>
                <w:b/>
              </w:rPr>
              <w:t>) </w:t>
            </w:r>
          </w:p>
        </w:tc>
      </w:tr>
      <w:tr>
        <w:trPr/>
        <w:tc>
          <w:tcPr>
            <w:tcW w:w="293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b/>
                <w:sz w:val="20"/>
              </w:rPr>
            </w:pPr>
            <w:r>
              <w:rPr>
                <w:rFonts w:ascii="Times New Roman" w:hAnsi="Times New Roman"/>
                <w:b/>
                <w:sz w:val="20"/>
              </w:rPr>
              <w:t>Non-GAAP Net Income (Loss) Per Diluted Share</w:t>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0.94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0.84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0.73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707" w:type="dxa"/>
            <w:tcBorders/>
            <w:vAlign w:val="bottom"/>
          </w:tcPr>
          <w:p>
            <w:pPr>
              <w:pStyle w:val="TableContents"/>
              <w:bidi w:val="0"/>
              <w:spacing w:before="0" w:after="283"/>
              <w:jc w:val="right"/>
              <w:rPr>
                <w:b/>
              </w:rPr>
            </w:pPr>
            <w:r>
              <w:rPr>
                <w:b/>
              </w:rPr>
              <w:t>0.60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0.08</w:t>
            </w:r>
          </w:p>
        </w:tc>
        <w:tc>
          <w:tcPr>
            <w:tcW w:w="36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0.02</w:t>
            </w:r>
          </w:p>
        </w:tc>
        <w:tc>
          <w:tcPr>
            <w:tcW w:w="166" w:type="dxa"/>
            <w:tcBorders/>
            <w:vAlign w:val="bottom"/>
          </w:tcPr>
          <w:p>
            <w:pPr>
              <w:pStyle w:val="TableContents"/>
              <w:bidi w:val="0"/>
              <w:spacing w:before="0" w:after="283"/>
              <w:jc w:val="left"/>
              <w:rPr>
                <w:b/>
              </w:rPr>
            </w:pPr>
            <w:r>
              <w:rPr>
                <w:b/>
              </w:rPr>
              <w:t>) </w:t>
            </w:r>
          </w:p>
        </w:tc>
      </w:tr>
      <w:tr>
        <w:trPr/>
        <w:tc>
          <w:tcPr>
            <w:tcW w:w="293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used in GAAP net income (loss) per diluted share calculation</w:t>
            </w:r>
          </w:p>
        </w:tc>
        <w:tc>
          <w:tcPr>
            <w:tcW w:w="16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39,317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39,047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38,937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37,309</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37,138</w:t>
            </w:r>
          </w:p>
        </w:tc>
        <w:tc>
          <w:tcPr>
            <w:tcW w:w="36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34,458</w:t>
            </w:r>
          </w:p>
        </w:tc>
        <w:tc>
          <w:tcPr>
            <w:tcW w:w="166"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used in Non-GAAP net income (loss) per diluted share calculation</w:t>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39,521</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39,047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38,937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38,130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37,901</w:t>
            </w:r>
          </w:p>
        </w:tc>
        <w:tc>
          <w:tcPr>
            <w:tcW w:w="36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34,458</w:t>
            </w:r>
          </w:p>
        </w:tc>
        <w:tc>
          <w:tcPr>
            <w:tcW w:w="166"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legal costs and expenses related to a certain litigation and an arbitration proceeding, which are expected to continue until these matters are resolved.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Pertains to write-down in value of our first-generation of e-beam tools for Design-for-Inspection systems wherein carrying values may not be fully recoverable due to lack of market demand and future needs of customers for these tools.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recognized a discrete tax benefit recognized from the carryback of net operating losses (“NOLs”) under the CARES Act enacted in March 2020 amounting to $2.3 million through the nine months ended September 30, 2020. Such tax benefit represents refund of cash taxes in the amount of $1.2 million and a release of previously utilized tax attributes of $1.1 million. Due to the full valuation allowance against U.S. deferred tax assets (“DTAs”) recognized in the fourth quarter of 2020, there is no tax benefit from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released tax attributes. The Company does not have any NOLs on a non-GAAP basis and, therefore, it did not recognize this discrete tax benefit in calculating its non-GAAP tax expense and net income (loss). The full year amount represents the refund of cash taxes of $1.2 million.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difference between the GAAP and non-GAAP income tax provisions is primarily due to the valuation allowance on a GAAP basis and non-GAAP adjustments. For example, on a GAAP basis, the Company does not receive a deferred tax benefit for foreign tax credits or research and development credits after the valuation allowance. The Company’s non-GAAP tax rate and resulting non-GAAP tax expense is not calculated with a full U.S. federal or state valuation allowance due to the Company’s cumulative non-GAAP income and management’s conclusion that it is more likely than not to utilize its net DTAs. Each reporting period, management evaluates the need for a valuation allowance and may place a valuation allowance against its U.S. net DTAs on a non-GAAP basis if it concludes it is more likely than not that it will not be able to utilize some or all of its U.S. DTAs on a non-GAAP basis.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110879_7"/>
      <w:bookmarkEnd w:id="10"/>
      <w:r>
        <w:rPr>
          <w:rFonts w:ascii="Times New Roman" w:hAnsi="Times New Roman"/>
          <w:b/>
          <w:sz w:val="20"/>
        </w:rPr>
        <w:t xml:space="preserve">RISK FACTORS </w:t>
      </w:r>
    </w:p>
    <w:p>
      <w:pPr>
        <w:pStyle w:val="TextBody"/>
        <w:bidi w:val="0"/>
        <w:spacing w:before="240" w:after="0"/>
        <w:jc w:val="left"/>
        <w:rPr/>
      </w:pPr>
      <w:r>
        <w:rPr>
          <w:rFonts w:ascii="Times New Roman" w:hAnsi="Times New Roman"/>
          <w:i/>
          <w:sz w:val="20"/>
        </w:rPr>
        <w:t xml:space="preserve">Investing in our common stock involves a high degree of risk. You should carefully consider the following risk factors as well as those described in our </w:t>
      </w:r>
      <w:hyperlink r:id="rId4">
        <w:r>
          <w:rPr>
            <w:rStyle w:val="InternetLink"/>
            <w:rFonts w:ascii="Times New Roman" w:hAnsi="Times New Roman"/>
            <w:i/>
            <w:sz w:val="20"/>
          </w:rPr>
          <w:t>Annual Report on Form 10-K</w:t>
        </w:r>
      </w:hyperlink>
      <w:r>
        <w:rPr>
          <w:rFonts w:ascii="Times New Roman" w:hAnsi="Times New Roman"/>
          <w:i/>
          <w:sz w:val="20"/>
        </w:rPr>
        <w:t xml:space="preserve"> for the year ended December 31, 2025 and the other information in this prospectus supplement before deciding to invest in our common stock. The occurrence of any of the following risks could harm our business, financial condition, results of operations or prospects. In that case, the trading price of our common stock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this Offering and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any shares sold to the underwriters pursuant to their option to purchase up to 571,038 additional shares from us, and we may invest or spend the proceeds in ways with which you do not agree and in ways that may not yield a return on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will have broad discretion in the application of the net proceeds to us from this offering. You will not have the opportunity, as part of your investment decision, to assess whether the proceeds are being used effectively. Our management might not apply the net proceeds to us from this offering or our existing cash in ways that ultimately increase the value of your investment. If we do not invest or apply the net proceeds to us from this offering or our existing cash in ways that enhance stockholder value, we may fail to achieve expected results, which could cause our stock price to decline. Pending their use, we intend to invest the net proceeds from this offering in investment-grade interest-bearing securities with insignificant rates of return. These investments may not yield a favorable return to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the perception of future sales, by us or our existing stockholders in the public market could cause the market price for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The sale of our common stock in the public market,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Upon consummation of this offering, we will have a total of 40,410,993 shares of common stock (or 40,982,031 shares of common stock if the underwriters exercise in full their option to purchase additional shares from us) outstanding. All shares sold in this offering, including the 3,306,924 shares of common stock that the selling stockholder is selling in this offering, will be freely tradable without restriction or further registration under the Securities Act, except for any common stock held by our affiliates, as that term is defined under Rule 144 under the Securities Act (“Rule 144”), including certain of our directors, Section 16 officers and other affiliates. The shares of our common stock beneficially owned by our directors and Section 16 officers following this offering will represent approximately 10.9% of our total outstanding common stock following this offering, or 10.8% if the underwriters exercise in full their option to purchase additional shares from us. Such shares of common stock are “restricted securities” under Rule 144 and subject to certain restrictions on resale. Restricted securities may be sold in the public market only if they are registered under the Securities Act or are sold pursuant to an exemption from registration such as Rule 144.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we and our directors and Section 16 officers will agree with the underwriters, subject to certain exceptions, not to dispose of or hedge any of our or their common stock or securities convertible into or exchangeable for common stock during the period from the date of this prospectus supplement continuing through the date that is 60 days after the date of this prospectus supplement, except with the prior written consent of Morgan Stanley &amp; Co. LLC, on behalf of the underwriters. See “Underwriting (Conflict of Interest)” for a description of these lock-up agreements. In addition, our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outstanding awards or reserved for future issuance under our 2011 Plan and our ESPP will become eligible for sale in the public market once those shares are issued, subject to provisions relating to any vesting agreements. </w:t>
      </w:r>
    </w:p>
    <w:p>
      <w:pPr>
        <w:pStyle w:val="TextBody"/>
        <w:bidi w:val="0"/>
        <w:spacing w:before="240" w:after="0"/>
        <w:jc w:val="left"/>
        <w:rPr>
          <w:rFonts w:ascii="Times New Roman" w:hAnsi="Times New Roman"/>
          <w:sz w:val="20"/>
        </w:rPr>
      </w:pPr>
      <w:r>
        <w:rPr>
          <w:rFonts w:ascii="Times New Roman" w:hAnsi="Times New Roman"/>
          <w:sz w:val="20"/>
        </w:rPr>
        <w:t xml:space="preserve">We may also issue our securities in connection with investments or acquisitions. The amount of our common stock issued in connection with an investment or acquisition could constitute a material portion of our then-outstanding common stock. Any issuance of additional securities in connection with investments or acquisitions may result in additional dilution to our stockholders and the securities issued may have rights that are senior to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issuance or sale of additional shares of our common stock, or rights to acquire shares of our common stock, could depress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may conduct future offerings of our common stock, preferred stock or other securities that are convertible into, or exercisable or exchangeable for, our common stock to finance our operations or fund acquisitions, or for other purposes. In addition, as of March 31, 2026, we had 3.2 million shares of common stock available for future issuance under our 2011 Plan; 16 thousand shares of common stock issuable upon the exercise of options outstanding under our 2011 Plan; 1.6 million shares of common stock issuable upon the vesting of restricted stock units outstanding under the 2011 Plan; and 0.5 million shares of common stock available for future issuance under our ESPP.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may significantly decline. In addition, our issuance of additional shares of common stock will dilute the ownership interests of our existing common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estimate of the market size for our solutions may prove to be inaccurate, and even if the market size is accurate, we cannot assure you that we will serve a significant portion of the market. </w:t>
      </w:r>
    </w:p>
    <w:p>
      <w:pPr>
        <w:pStyle w:val="TextBody"/>
        <w:bidi w:val="0"/>
        <w:spacing w:before="120" w:after="0"/>
        <w:jc w:val="left"/>
        <w:rPr>
          <w:rFonts w:ascii="Times New Roman" w:hAnsi="Times New Roman"/>
          <w:sz w:val="20"/>
        </w:rPr>
      </w:pPr>
      <w:r>
        <w:rPr>
          <w:rFonts w:ascii="Times New Roman" w:hAnsi="Times New Roman"/>
          <w:sz w:val="20"/>
        </w:rPr>
        <w:t xml:space="preserve">Our estimates of our total market opportunity within the semiconductor industry, including manufacturing costs, and industry growth rates are subject to significant uncertainty and are based on assumptions and estimates, including our internal analysis and industry experience and third-party data, which may be inaccurate. The variables that go into the calculation of our total addressable market are subject to change over time, and there is no guarantee that any particular number or percentage of current or prospective customers covered by our market opportunity estimates will purchase our solutions at all or generate any particular level of revenue for us. These estimates are, in part, based upon the size of the markets and geographies we target and an estimated range of prices for our current solutions and future development plans. These estimates are also dependent in large part on the expectation that the adoption and use of AI will continue to accelerate in the future, which may or may not occur at the rates or in the ways expected. To estimate the size of our market opportunities and related growth rates, we have relied on market reports by third-party firms and our own internal estimates. While our estimates of the total addressable market opportunity are made in good faith and are based on assumptions and estimates we believe to be reasonable under the circumstances, these estimates and growth forecasts are subject to significant uncertainty, are based on assumptions and estimates that may not prove to be accurate, and are based on our industry knowledge and data published by third parties that we have not independently verified. Our ability to serve a significant portion of this total addressable market is subject to many factors, including our success in implementing our business strategy and ability to maintain or increase our pricing levels, which are subject to many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Moreover, we must continue to enhance and add to our existing markets and introduce our solutions to new markets. Any expansion in our market depends on a number of factors, including the cost, performance and perceived value associated with our solutions. Additionally, our capital and operating costs for the foreseeable future are difficult to project, inherently variable and are subject to significant change based on a variety of factors, including regulatory oversight, operating agreements, supply chain availability, inflation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factors. Accordingly, even if our estimate of the market size is accurate, we cannot assure you that we will serve a significant portion of this estimated market or that our pricing levels will not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failure to satisfy financial covenants and/or repayment requirements under our credit agreement could harm our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In March 2025, we entered into a credit agreement with the lenders party thereto and Wells Fargo Bank, National Association, as administrative agent, and in April 2026, we entered into an amendment to the credit agreement (as amended, the “Credit Agreement”), which provides for a revolving credit facility in an aggregate principal amount of $75 million and a term loan facility in an aggregate principal amount of $25 million.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contains affirmative and negative covenants, including, among others, restrictions on the incurrence of debt, the incurrence of liens, the making of investments and distributions, dividends, and stock buy-backs. In addition, the Credit Agreement requires that we maintain a consolidated total net leverage ratio of not greater than 3.00 to 1.00, and a consolidated fixed charge coverage ratio of not less than 1.25 to 1.00. The occurrence of an event of default could result in the termination of commitments under the Credit Agreement, the declaration that all outstanding loans are immediately due and payable in whole or in part and the requirement of cash collateral deposits in respect of outstanding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Any failure to maintain financial covenants under the Credit Agreement or to have sufficient liquidity to either repay or refinance the then outstanding balance at expiration of the Credit Agreement, or upon any violation of the covenants, could materially adversely affect our financial performance. In addition, the Credit Agreement contains, and any future indebtedness that we may incur may contain, financial and other restrictive covenants that limit our ability to operate our business, raise capital or make payments under our other indebtedness.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indebtedness could limit our ability to obtain additional financing in the future and have other material consequences, including: increasing our vulnerability to, and limiting our flexibility in planning for, changing business and market conditions, making us more vulnerable to adverse economic and industry conditions; limiting our ability to use proceeds from this or any other offering or divestiture transaction for purposes other than the repayment of debt; and creating competitive disadvantages compared to other companies with less indebtedness.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not historically paid dividends on our common stock, and while we may consider doing so in the future, we cannot assure you that we will ever pay cash dividends.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common stock and do not have a current plan to do so. Consequently, investors must rely on sales of their shares of our common stock after price appreciation, which may not occur, as the only way to realize any future gains on their investment. Investors seeking dividends should not purchase shares of our common stock. Any future determination to declare and pay dividends, if any, will be at the discretion of our board of directors and will be subject to or depend on, among other things, our compliance with applicable law,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(including our existing Credit Agreement), other contractual restrictions, industry trends and any other factors or considerations our board of directors may regard as relevant. Any cash dividends paid in the future could affect the trading price of our common stock and decrease our cash reserves, which could reduce the amount of cash we have available to fund working capital, capital expenditures, strategic acquisitions or business opportunities, and other general corporate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cannot guarantee that our share repurchase program will be utilized to the full value approved or that it will enhance long-term stockholder value. </w:t>
      </w:r>
    </w:p>
    <w:p>
      <w:pPr>
        <w:pStyle w:val="TextBody"/>
        <w:bidi w:val="0"/>
        <w:spacing w:before="120" w:after="0"/>
        <w:jc w:val="left"/>
        <w:rPr>
          <w:rFonts w:ascii="Times New Roman" w:hAnsi="Times New Roman"/>
          <w:sz w:val="20"/>
        </w:rPr>
      </w:pPr>
      <w:r>
        <w:rPr>
          <w:rFonts w:ascii="Times New Roman" w:hAnsi="Times New Roman"/>
          <w:sz w:val="20"/>
        </w:rPr>
        <w:t xml:space="preserve">In May 2026, our Board of Directors authorized a share repurchase program of up to $50.0 million of shares of our common stock over the next two years from the adoption date. The actual timing and amount of repurchases are subject to business and market conditions, corporate and regulatory requirements, stock price, acquisition opportunities and other factors. The repurchase program does not obligate us to acquire a minimum amount of shares and may be modified, suspended or terminated without prior notice, which may result in a decrease in the trading price of our common stock. The timing and total amount of share repurchases will depend upon market conditions and other factors and may be made from time to time in open market purchases and in privately negotiated transactions, or otherwise. Future decisions to repurchase shares are at the discretion of the board of directors and are based on several factors, including current and forecasted operating cash flows, capital needs, dividend payments, debt levels and cost of borrowing, our share price and current market conditions. The timing and number of shares repurchased are also subject to legal constraints and covenants under the Credit Agreement that limit share repurchases based on a defined ratio. In addition, the Inflation Reduction Act of 2022 introduced a 1% excise tax on share repurchases, which may increase the costs associated with repurchasing shares of our common stock. Even if our share repurchase program is fully implemented, it may not enhance long-term stockholder value or may not prove to be the best use of our cash. Share repurchases could have an impact on the trading price of our common stock, increase the volatility of the price of our common stock or reduce our available cash balance such that we will be required to seek financing to support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in our third amended and restated certificate of incorporation, as amended, and our amended and restated bylaws, as well as provisions of the Delaware General Corporation Law, could make it more difficult for a third party to acquire us or increase the cost of acquiring us, even if doing so would benefit our stockholders, including transactions in which stockholders might otherwise receive a premium for their shares.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 classified board of directors such that not all members of the board are elected at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allowing the total number of directors to be determined exclusively (subject to the rights of holders of any series of preferred stock to elect additional directors) by resolution of our board of directors and granting to our board the sole power (subject to the rights of holders of any series of preferred stock) to fill any vacancy on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authorizing the issuance of “blank check” preferred stock by our board of directors, without further stockholder approval, to thwart a takeover attempt;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prohibiting stockholder action by written consent (and, thus, requiring that all stockholder actions be taken at a meeting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eliminating the ability of stockholders to call a special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advance notice requirements for nominations for election to the board of directors or for proposing matters that can be acted upon at annual stockholder meetings;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approval of the holders of at least two-thirds of the voting power of all outstanding stock entitled to vote thereon, voting together as a single class, to amend or repeal our amended and restated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could discourage, delay or prevent a transaction involving a change in control of our company. They could also discourage proxy contests and make it more difficult for stockholders to elect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of their choosing and cause us to take corporate actions other than those which our stockholders desire.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110879_8"/>
      <w:bookmarkEnd w:id="1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the sale of the shares of our common stock offered by us will be approximately $    million (or approximately $    million if the underwriters exercise their option to purchase additional shares in full), after deducting underwriting discounts and commissions and estimated offering expenses payable by us. The selling stockholder will be responsible for all reasonable, documented, out-of-pocket costs and expenses with respect to this offering. We will not receive any of the proceeds from the sale of shares of our common stock by the selling stockholder. The selling stockholder will bear the underwriting commissions and discounts, if any, attributable to its sale of our common stock. See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to us from this offering for general corporate purposes, which may include repayment of indebtedness. We will have broad discretion over the uses of the net proceeds from this offering. Pending these uses, we intend to invest the net proceeds from this offering in investment-grade interest-bearing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110879_9"/>
      <w:bookmarkEnd w:id="12"/>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as of March 31, 2026, our cash and cash equivalents and capitalization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actual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 adjusted basis to give effect to this offering of common stock by us. </w:t>
            </w:r>
          </w:p>
        </w:tc>
      </w:tr>
    </w:tbl>
    <w:p>
      <w:pPr>
        <w:pStyle w:val="TextBody"/>
        <w:bidi w:val="0"/>
        <w:spacing w:before="240" w:after="0"/>
        <w:jc w:val="left"/>
        <w:rPr/>
      </w:pPr>
      <w:r>
        <w:rPr>
          <w:rFonts w:ascii="Times New Roman" w:hAnsi="Times New Roman"/>
          <w:sz w:val="20"/>
        </w:rPr>
        <w:t xml:space="preserve">The information in this table should be read in conjunction with the information presented under the caption “Management’s Discussion and Analysis of Financial Condition and Results of Operations” and in the historical consolidated financial statements and accompanying notes included in our </w:t>
      </w:r>
      <w:hyperlink r:id="rId5">
        <w:r>
          <w:rPr>
            <w:rStyle w:val="InternetLink"/>
            <w:rFonts w:ascii="Times New Roman" w:hAnsi="Times New Roman"/>
            <w:sz w:val="20"/>
          </w:rPr>
          <w:t>Annual Report on Form 10-K</w:t>
        </w:r>
      </w:hyperlink>
      <w:r>
        <w:rPr>
          <w:rFonts w:ascii="Times New Roman" w:hAnsi="Times New Roman"/>
          <w:sz w:val="20"/>
        </w:rPr>
        <w:t xml:space="preserve"> for the year ended December  31, 2025 and our </w:t>
      </w:r>
      <w:hyperlink r:id="rId6">
        <w:r>
          <w:rPr>
            <w:rStyle w:val="InternetLink"/>
            <w:rFonts w:ascii="Times New Roman" w:hAnsi="Times New Roman"/>
            <w:sz w:val="20"/>
          </w:rPr>
          <w:t>Quarterly Report on Form 10-Q</w:t>
        </w:r>
      </w:hyperlink>
      <w:r>
        <w:rPr>
          <w:rFonts w:ascii="Times New Roman" w:hAnsi="Times New Roman"/>
          <w:sz w:val="20"/>
        </w:rPr>
        <w:t xml:space="preserve"> for the quarterly period ended March 31, 2026, which are incorporated by reference in this prospectus supplement.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80"/>
        <w:gridCol w:w="320"/>
        <w:gridCol w:w="145"/>
        <w:gridCol w:w="944"/>
        <w:gridCol w:w="155"/>
        <w:gridCol w:w="320"/>
        <w:gridCol w:w="147"/>
        <w:gridCol w:w="1179"/>
        <w:gridCol w:w="65"/>
      </w:tblGrid>
      <w:tr>
        <w:trPr/>
        <w:tc>
          <w:tcPr>
            <w:tcW w:w="448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48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8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March 31, 2026</w:t>
            </w:r>
          </w:p>
        </w:tc>
        <w:tc>
          <w:tcPr>
            <w:tcW w:w="65" w:type="dxa"/>
            <w:tcBorders/>
            <w:vAlign w:val="bottom"/>
          </w:tcPr>
          <w:p>
            <w:pPr>
              <w:pStyle w:val="TableContents"/>
              <w:bidi w:val="0"/>
              <w:spacing w:before="0" w:after="283"/>
              <w:jc w:val="left"/>
              <w:rPr/>
            </w:pPr>
            <w:r>
              <w:rPr/>
              <w:t> </w:t>
            </w:r>
          </w:p>
        </w:tc>
      </w:tr>
      <w:tr>
        <w:trPr/>
        <w:tc>
          <w:tcPr>
            <w:tcW w:w="4480" w:type="dxa"/>
            <w:tcBorders/>
            <w:vAlign w:val="bottom"/>
          </w:tcPr>
          <w:p>
            <w:pPr>
              <w:pStyle w:val="TableContents"/>
              <w:bidi w:val="0"/>
              <w:spacing w:before="0" w:after="283"/>
              <w:jc w:val="left"/>
              <w:rPr/>
            </w:pPr>
            <w:r>
              <w:rPr/>
              <w:t>(in thousands, except per share amounts)</w:t>
            </w:r>
          </w:p>
        </w:tc>
        <w:tc>
          <w:tcPr>
            <w:tcW w:w="320" w:type="dxa"/>
            <w:tcBorders/>
            <w:vAlign w:val="bottom"/>
          </w:tcPr>
          <w:p>
            <w:pPr>
              <w:pStyle w:val="TableContents"/>
              <w:bidi w:val="0"/>
              <w:spacing w:before="0" w:after="283"/>
              <w:jc w:val="left"/>
              <w:rPr/>
            </w:pPr>
            <w:r>
              <w:rPr/>
              <w:t>  </w:t>
            </w:r>
          </w:p>
        </w:tc>
        <w:tc>
          <w:tcPr>
            <w:tcW w:w="10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3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65" w:type="dxa"/>
            <w:tcBorders/>
            <w:vAlign w:val="bottom"/>
          </w:tcPr>
          <w:p>
            <w:pPr>
              <w:pStyle w:val="TableContents"/>
              <w:bidi w:val="0"/>
              <w:spacing w:before="0" w:after="283"/>
              <w:jc w:val="left"/>
              <w:rPr/>
            </w:pPr>
            <w:r>
              <w:rPr/>
              <w:t> </w:t>
            </w:r>
          </w:p>
        </w:tc>
      </w:tr>
      <w:tr>
        <w:trPr/>
        <w:tc>
          <w:tcPr>
            <w:tcW w:w="44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w:t>
            </w:r>
          </w:p>
        </w:tc>
        <w:tc>
          <w:tcPr>
            <w:tcW w:w="3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44" w:type="dxa"/>
            <w:tcBorders/>
            <w:shd w:fill="CCEEFF" w:val="clear"/>
            <w:vAlign w:val="bottom"/>
          </w:tcPr>
          <w:p>
            <w:pPr>
              <w:pStyle w:val="TableContents"/>
              <w:bidi w:val="0"/>
              <w:spacing w:before="0" w:after="283"/>
              <w:jc w:val="right"/>
              <w:rPr/>
            </w:pPr>
            <w:r>
              <w:rPr/>
              <w:t>31,153</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48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80" w:type="dxa"/>
            <w:tcBorders/>
          </w:tcPr>
          <w:p>
            <w:pPr>
              <w:pStyle w:val="TableContents"/>
              <w:bidi w:val="0"/>
              <w:spacing w:before="0" w:after="0"/>
              <w:jc w:val="left"/>
              <w:rPr>
                <w:rFonts w:ascii="Times New Roman" w:hAnsi="Times New Roman"/>
                <w:b/>
                <w:sz w:val="20"/>
              </w:rPr>
            </w:pPr>
            <w:r>
              <w:rPr>
                <w:rFonts w:ascii="Times New Roman" w:hAnsi="Times New Roman"/>
                <w:b/>
                <w:sz w:val="20"/>
              </w:rPr>
              <w:t>Long-term debt (including current portion thereof):</w:t>
            </w:r>
          </w:p>
        </w:tc>
        <w:tc>
          <w:tcPr>
            <w:tcW w:w="3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7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Revolving credit facility</w:t>
            </w:r>
          </w:p>
        </w:tc>
        <w:tc>
          <w:tcPr>
            <w:tcW w:w="3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44" w:type="dxa"/>
            <w:tcBorders/>
            <w:shd w:fill="CCEEFF" w:val="clear"/>
            <w:vAlign w:val="bottom"/>
          </w:tcPr>
          <w:p>
            <w:pPr>
              <w:pStyle w:val="TableContents"/>
              <w:bidi w:val="0"/>
              <w:spacing w:before="0" w:after="283"/>
              <w:jc w:val="right"/>
              <w:rPr/>
            </w:pPr>
            <w:r>
              <w:rPr/>
              <w:t>45,000</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480" w:type="dxa"/>
            <w:tcBorders/>
          </w:tcPr>
          <w:p>
            <w:pPr>
              <w:pStyle w:val="TableContents"/>
              <w:bidi w:val="0"/>
              <w:spacing w:before="0" w:after="0"/>
              <w:jc w:val="left"/>
              <w:rPr>
                <w:rFonts w:ascii="Times New Roman" w:hAnsi="Times New Roman"/>
                <w:sz w:val="20"/>
              </w:rPr>
            </w:pPr>
            <w:r>
              <w:rPr>
                <w:rFonts w:ascii="Times New Roman" w:hAnsi="Times New Roman"/>
                <w:sz w:val="20"/>
              </w:rPr>
              <w:t>Term loan</w:t>
            </w:r>
          </w:p>
        </w:tc>
        <w:tc>
          <w:tcPr>
            <w:tcW w:w="3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22,500</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7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Unamortized debt discount and issuance costs</w:t>
            </w:r>
          </w:p>
        </w:tc>
        <w:tc>
          <w:tcPr>
            <w:tcW w:w="3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(1,048</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7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8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8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debt, net</w:t>
            </w:r>
          </w:p>
        </w:tc>
        <w:tc>
          <w:tcPr>
            <w:tcW w:w="3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944" w:type="dxa"/>
            <w:tcBorders/>
            <w:vAlign w:val="bottom"/>
          </w:tcPr>
          <w:p>
            <w:pPr>
              <w:pStyle w:val="TableContents"/>
              <w:bidi w:val="0"/>
              <w:spacing w:before="0" w:after="283"/>
              <w:jc w:val="right"/>
              <w:rPr/>
            </w:pPr>
            <w:r>
              <w:rPr/>
              <w:t>66,452</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7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48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3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7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80"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$0.00015 par value, 5,000 shares authorized, no shares issued and outstanding</w:t>
            </w:r>
          </w:p>
        </w:tc>
        <w:tc>
          <w:tcPr>
            <w:tcW w:w="3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7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Common stock, $0.00015 par value, 70,000 shares authorized; 52,188 shares issued and 39,911 shares outstanding, actual; </w:t>
              <w:br/>
              <w:t>    shares issued and      shares outstanding, as adjusted</w:t>
            </w:r>
          </w:p>
        </w:tc>
        <w:tc>
          <w:tcPr>
            <w:tcW w:w="3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44"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48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542,176</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7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 at cost, 12,277 shares</w:t>
            </w:r>
          </w:p>
        </w:tc>
        <w:tc>
          <w:tcPr>
            <w:tcW w:w="3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(169,518</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7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8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(89,837</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7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3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(2,362</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7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8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8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3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944" w:type="dxa"/>
            <w:tcBorders/>
            <w:vAlign w:val="bottom"/>
          </w:tcPr>
          <w:p>
            <w:pPr>
              <w:pStyle w:val="TableContents"/>
              <w:bidi w:val="0"/>
              <w:spacing w:before="0" w:after="283"/>
              <w:jc w:val="right"/>
              <w:rPr/>
            </w:pPr>
            <w:r>
              <w:rPr/>
              <w:t>280,465</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7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48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capitalization</w:t>
            </w:r>
          </w:p>
        </w:tc>
        <w:tc>
          <w:tcPr>
            <w:tcW w:w="3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44" w:type="dxa"/>
            <w:tcBorders/>
            <w:shd w:fill="CCEEFF" w:val="clear"/>
            <w:vAlign w:val="bottom"/>
          </w:tcPr>
          <w:p>
            <w:pPr>
              <w:pStyle w:val="TableContents"/>
              <w:bidi w:val="0"/>
              <w:spacing w:before="0" w:after="283"/>
              <w:jc w:val="right"/>
              <w:rPr/>
            </w:pPr>
            <w:r>
              <w:rPr/>
              <w:t>346,917</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48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total number of shares of our common stock outstanding after this offering is based on 39,910,993 shares of our common stock outstanding as of March 31,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16,302 shares of common stock issuable upon the exercise of options outstanding under the 2011 Plan with a weighted average exercise price of $17.01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1,628,824 shares of common stock issuable upon the vesting of restricted stock units outstanding under the 2011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3,200,593 shares of common stock reserved for issuance under the 2011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523,886 shares of common stock reserved for issuance under the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110879_10"/>
      <w:bookmarkEnd w:id="13"/>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below table and footnotes set forth information with respect to the beneficial ownership of our common stock as of March 31, 2026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amounts and percentages of our common stock beneficially owned are reported on the basis of rules of the SEC governing the determination of beneficial ownership of securities. Under these rules, a person is deemed to be a “beneficial owner” of a security if that person has or shares “voting power,” which includes the power to vote or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after March 31, 2026, including any shares of our common stock subject to an option that has vested or will vest and be exercisable within 60 days after March 31, 2026. Securities that can be so acquired are deemed to be outstanding for purposes of computing such person’s ownership percentage, but not for purposes of computing any other person’s percentage. More than one person may be deemed to be a beneficial owner of the same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ownership information shown in the table below with respect to the shares of common stock owned before this offering is based upon 39,910,993 shares of common stock outstanding as of March 31, 2026. The percentage ownership information shown in the table below with respect to shares owned after this offering is based upon 40,410,993 shares of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below, to our knowledge, the selling stockholder listed below has sole voting and investment power with respect to its shares of common stock. The address for the selling stockholder listed below is Advantest America, Inc., 3061 Zanker Road, San Jose, California 95134.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64"/>
        <w:gridCol w:w="254"/>
        <w:gridCol w:w="60"/>
        <w:gridCol w:w="1032"/>
        <w:gridCol w:w="60"/>
        <w:gridCol w:w="254"/>
        <w:gridCol w:w="153"/>
        <w:gridCol w:w="1158"/>
        <w:gridCol w:w="60"/>
        <w:gridCol w:w="254"/>
        <w:gridCol w:w="66"/>
        <w:gridCol w:w="1079"/>
        <w:gridCol w:w="60"/>
        <w:gridCol w:w="254"/>
        <w:gridCol w:w="118"/>
        <w:gridCol w:w="764"/>
        <w:gridCol w:w="67"/>
        <w:gridCol w:w="265"/>
        <w:gridCol w:w="172"/>
        <w:gridCol w:w="1142"/>
        <w:gridCol w:w="69"/>
      </w:tblGrid>
      <w:tr>
        <w:trPr/>
        <w:tc>
          <w:tcPr>
            <w:tcW w:w="2864"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86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br/>
              <w:t>Beneficially Owned</w:t>
              <w:br/>
              <w:t>Before this Offering</w:t>
            </w:r>
          </w:p>
        </w:tc>
        <w:tc>
          <w:tcPr>
            <w:tcW w:w="60" w:type="dxa"/>
            <w:tcBorders/>
            <w:vAlign w:val="bottom"/>
          </w:tcPr>
          <w:p>
            <w:pPr>
              <w:pStyle w:val="TableContents"/>
              <w:bidi w:val="0"/>
              <w:spacing w:before="0" w:after="283"/>
              <w:jc w:val="left"/>
              <w:rPr/>
            </w:pPr>
            <w:r>
              <w:rPr/>
              <w:t> </w:t>
            </w:r>
          </w:p>
        </w:tc>
        <w:tc>
          <w:tcPr>
            <w:tcW w:w="254" w:type="dxa"/>
            <w:vMerge w:val="restart"/>
            <w:tcBorders/>
            <w:vAlign w:val="bottom"/>
          </w:tcPr>
          <w:p>
            <w:pPr>
              <w:pStyle w:val="TableContents"/>
              <w:bidi w:val="0"/>
              <w:spacing w:before="0" w:after="283"/>
              <w:jc w:val="left"/>
              <w:rPr/>
            </w:pPr>
            <w:r>
              <w:rPr/>
              <w:t>  </w:t>
            </w:r>
          </w:p>
        </w:tc>
        <w:tc>
          <w:tcPr>
            <w:tcW w:w="114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Shares</w:t>
              <w:br/>
              <w:t>Being</w:t>
              <w:br/>
              <w:t>Sold in this</w:t>
              <w:br/>
              <w:t>Offering</w:t>
            </w:r>
          </w:p>
        </w:tc>
        <w:tc>
          <w:tcPr>
            <w:tcW w:w="60" w:type="dxa"/>
            <w:vMerge w:val="restart"/>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5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br/>
              <w:t>Beneficially Owned</w:t>
              <w:br/>
              <w:t>After this Offering</w:t>
            </w:r>
          </w:p>
        </w:tc>
        <w:tc>
          <w:tcPr>
            <w:tcW w:w="69" w:type="dxa"/>
            <w:tcBorders/>
            <w:vAlign w:val="bottom"/>
          </w:tcPr>
          <w:p>
            <w:pPr>
              <w:pStyle w:val="TableContents"/>
              <w:bidi w:val="0"/>
              <w:spacing w:before="0" w:after="283"/>
              <w:jc w:val="left"/>
              <w:rPr/>
            </w:pPr>
            <w:r>
              <w:rPr/>
              <w:t> </w:t>
            </w:r>
          </w:p>
        </w:tc>
      </w:tr>
      <w:tr>
        <w:trPr/>
        <w:tc>
          <w:tcPr>
            <w:tcW w:w="2864" w:type="dxa"/>
            <w:tcBorders/>
            <w:vAlign w:val="bottom"/>
          </w:tcPr>
          <w:p>
            <w:pPr>
              <w:pStyle w:val="TableContents"/>
              <w:bidi w:val="0"/>
              <w:spacing w:before="0" w:after="283"/>
              <w:jc w:val="left"/>
              <w:rPr>
                <w:b/>
              </w:rPr>
            </w:pPr>
            <w:r>
              <w:rPr>
                <w:b/>
              </w:rPr>
              <w:t>Name of Beneficial Owner</w:t>
            </w:r>
          </w:p>
        </w:tc>
        <w:tc>
          <w:tcPr>
            <w:tcW w:w="254"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Total</w:t>
              <w:br/>
              <w:t>Outstanding</w:t>
              <w:br/>
              <w:t>Common</w:t>
              <w:br/>
              <w:t>Stock (%)</w:t>
            </w:r>
          </w:p>
        </w:tc>
        <w:tc>
          <w:tcPr>
            <w:tcW w:w="60" w:type="dxa"/>
            <w:tcBorders/>
            <w:vAlign w:val="bottom"/>
          </w:tcPr>
          <w:p>
            <w:pPr>
              <w:pStyle w:val="TableContents"/>
              <w:bidi w:val="0"/>
              <w:spacing w:before="0" w:after="283"/>
              <w:jc w:val="left"/>
              <w:rPr/>
            </w:pPr>
            <w:r>
              <w:rPr/>
              <w:t> </w:t>
            </w:r>
          </w:p>
        </w:tc>
        <w:tc>
          <w:tcPr>
            <w:tcW w:w="254" w:type="dxa"/>
            <w:vMerge w:val="continue"/>
            <w:tcBorders/>
            <w:vAlign w:val="bottom"/>
          </w:tcPr>
          <w:p>
            <w:pPr>
              <w:pStyle w:val="Normal"/>
              <w:bidi w:val="0"/>
              <w:jc w:val="left"/>
              <w:rPr/>
            </w:pPr>
            <w:r>
              <w:rPr/>
            </w:r>
          </w:p>
        </w:tc>
        <w:tc>
          <w:tcPr>
            <w:tcW w:w="114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54"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w:t>
              <w:br/>
              <w:t>Shares</w:t>
            </w:r>
          </w:p>
        </w:tc>
        <w:tc>
          <w:tcPr>
            <w:tcW w:w="67"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Total</w:t>
              <w:br/>
              <w:t>Outstanding</w:t>
              <w:br/>
              <w:t>Common</w:t>
              <w:br/>
              <w:t>Stock (%)</w:t>
            </w:r>
          </w:p>
        </w:tc>
        <w:tc>
          <w:tcPr>
            <w:tcW w:w="69" w:type="dxa"/>
            <w:tcBorders/>
            <w:vAlign w:val="bottom"/>
          </w:tcPr>
          <w:p>
            <w:pPr>
              <w:pStyle w:val="TableContents"/>
              <w:bidi w:val="0"/>
              <w:spacing w:before="0" w:after="283"/>
              <w:jc w:val="left"/>
              <w:rPr/>
            </w:pPr>
            <w:r>
              <w:rPr/>
              <w:t> </w:t>
            </w:r>
          </w:p>
        </w:tc>
      </w:tr>
      <w:tr>
        <w:trPr/>
        <w:tc>
          <w:tcPr>
            <w:tcW w:w="28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Selling Stockholder</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2275" w:type="dxa"/>
            <w:gridSpan w:val="5"/>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142"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864" w:type="dxa"/>
            <w:tcBorders/>
          </w:tcPr>
          <w:p>
            <w:pPr>
              <w:pStyle w:val="TableContents"/>
              <w:bidi w:val="0"/>
              <w:spacing w:before="0" w:after="0"/>
              <w:jc w:val="left"/>
              <w:rPr>
                <w:rFonts w:ascii="Times New Roman" w:hAnsi="Times New Roman"/>
                <w:sz w:val="20"/>
              </w:rPr>
            </w:pPr>
            <w:r>
              <w:rPr>
                <w:rFonts w:ascii="Times New Roman" w:hAnsi="Times New Roman"/>
                <w:sz w:val="20"/>
              </w:rPr>
              <w:t>Advantest America, Inc.(1)</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3,306,924</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8.29</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3,306,924</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Advantest America, Inc. is a wholly owned subsidiary of Advantest Corporation. Advantest Corporation may be deemed to beneficially own shares held by Advantest America, Inc.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Securities Purchase Agreement; Stockholder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shares (the “Offered Shares”) being offered by the selling stockholder were issued by the Company to Advantest America, Inc. on July 30, 2020. We and the selling stockholder are parties to a securities purchase agreement and a stockholder agreement which provide that, subject to certain triggering events, we may facilitate a registered underwritten offering of the Offered Shares, which this offering is intended to satisfy. Such agreements further provide that the selling stockholder will be responsible for all reasonable, documented, out-of-pocket costs and expenses and shall have the right to make the final pricing decision with respect to the shares to be sold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regarding our strategic partnership with, and related party transactions involving, Advantest Corporation, see Note 13 to the condensed consolidated financial statements included in our Quarterly Report on Form 10-Q for the quarterly period ended March 31, 2026 and Note 15 to the consolidated financial statements included in our Annual Report on Form 10-K for the year ended December 31, 2025, each of which is incorporated by reference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x110879_11"/>
      <w:bookmarkEnd w:id="14"/>
      <w:r>
        <w:rPr>
          <w:rFonts w:ascii="Times New Roman" w:hAnsi="Times New Roman"/>
          <w:b/>
          <w:sz w:val="20"/>
        </w:rPr>
        <w:t xml:space="preserve">MATERIAL U.S. FEDERAL INCOME TAX CONSEQUENCES TO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the material U.S. federal income tax consequences to Non-U.S. Holders (as defined below) of the purchase, ownership and disposition of our common stock issued and sold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stock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“foreign 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INVESTORS SHOULD CONSULT THEIR TAX ADVISORS WITH RESPECT TO THE APPLICATION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a Non-U.S.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common stock and do not have a current plan to do so.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regarding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Sale or Other Taxable Disposition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will not be subject to U.S. federal income tax on any gain realized upon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constitutes a U.S. real property interest (“USRPI”) by reason of our status as a U.S. real property holding corporation (“USRPHC”)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gain realized upon the sale or other taxable disposition of our common stock, which gain may be offset by certain U.S.-source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any applicable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on our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and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Treasury Regulations and administrative guidance, withholding under FATCA generally applies to payments of dividends on our common stock. While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their investment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tx110879_12"/>
      <w:bookmarkEnd w:id="15"/>
      <w:r>
        <w:rPr>
          <w:rFonts w:ascii="Times New Roman" w:hAnsi="Times New Roman"/>
          <w:b/>
          <w:sz w:val="20"/>
        </w:rPr>
        <w:t xml:space="preserve">UNDERWRITING (CONFLICT OF INTEREST)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and subject to the conditions in an underwriting agreement dated the date of this prospectus supplement, the underwriters named below, for whom Morgan Stanley &amp; Co. LLC is acting as representative, have severally agreed to purchase, and we and the selling stockholder have agreed to sell to them, severally, the number of shares indicated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46"/>
        <w:gridCol w:w="540"/>
        <w:gridCol w:w="108"/>
        <w:gridCol w:w="1782"/>
        <w:gridCol w:w="63"/>
      </w:tblGrid>
      <w:tr>
        <w:trPr/>
        <w:tc>
          <w:tcPr>
            <w:tcW w:w="4446" w:type="dxa"/>
            <w:tcBorders/>
            <w:vAlign w:val="center"/>
          </w:tcPr>
          <w:p>
            <w:pPr>
              <w:pStyle w:val="TableContents"/>
              <w:bidi w:val="0"/>
              <w:spacing w:before="0" w:after="283"/>
              <w:jc w:val="left"/>
              <w:rPr>
                <w:sz w:val="4"/>
                <w:szCs w:val="4"/>
              </w:rPr>
            </w:pPr>
            <w:r>
              <w:rPr>
                <w:sz w:val="4"/>
                <w:szCs w:val="4"/>
              </w:rPr>
            </w:r>
          </w:p>
        </w:tc>
        <w:tc>
          <w:tcPr>
            <w:tcW w:w="54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4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540" w:type="dxa"/>
            <w:tcBorders/>
            <w:vAlign w:val="bottom"/>
          </w:tcPr>
          <w:p>
            <w:pPr>
              <w:pStyle w:val="TableContents"/>
              <w:bidi w:val="0"/>
              <w:spacing w:before="0" w:after="283"/>
              <w:jc w:val="left"/>
              <w:rPr/>
            </w:pPr>
            <w:r>
              <w:rPr/>
              <w:t>  </w:t>
            </w:r>
          </w:p>
        </w:tc>
        <w:tc>
          <w:tcPr>
            <w:tcW w:w="1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3"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5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82"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5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78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SG Americas Securities, LLC</w:t>
            </w:r>
          </w:p>
        </w:tc>
        <w:tc>
          <w:tcPr>
            <w:tcW w:w="5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78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Needham &amp; Company, LLC</w:t>
            </w:r>
          </w:p>
        </w:tc>
        <w:tc>
          <w:tcPr>
            <w:tcW w:w="5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78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78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446" w:type="dxa"/>
            <w:tcBorders/>
            <w:vAlign w:val="bottom"/>
          </w:tcPr>
          <w:p>
            <w:pPr>
              <w:pStyle w:val="TableContents"/>
              <w:bidi w:val="0"/>
              <w:spacing w:before="0" w:after="283"/>
              <w:jc w:val="left"/>
              <w:rPr>
                <w:sz w:val="4"/>
                <w:szCs w:val="4"/>
              </w:rPr>
            </w:pPr>
            <w:r>
              <w:rPr>
                <w:sz w:val="4"/>
                <w:szCs w:val="4"/>
              </w:rPr>
            </w:r>
          </w:p>
        </w:tc>
        <w:tc>
          <w:tcPr>
            <w:tcW w:w="5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78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initially propose to offer part of the shares of common stock directly to the public at the offering price listed on the cover page of this prospectus supplement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We have granted to the underwriters an option, exercisable for 30 days from the date of this prospectus supplement, to purchase up to 571,038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per share and total public offering price, underwriting discounts and commissions, and proceeds before expenses to us and the selling stockholder. These amounts are shown assuming both no exercise and full exercise of the underwriters’ option to purchase up to an additional 571,038 shares of common stock.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52"/>
        <w:gridCol w:w="152"/>
        <w:gridCol w:w="153"/>
        <w:gridCol w:w="834"/>
        <w:gridCol w:w="60"/>
        <w:gridCol w:w="152"/>
        <w:gridCol w:w="183"/>
        <w:gridCol w:w="1121"/>
        <w:gridCol w:w="60"/>
        <w:gridCol w:w="152"/>
        <w:gridCol w:w="153"/>
        <w:gridCol w:w="834"/>
        <w:gridCol w:w="66"/>
      </w:tblGrid>
      <w:tr>
        <w:trPr/>
        <w:tc>
          <w:tcPr>
            <w:tcW w:w="4652"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65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5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65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w:t>
              <w:br/>
              <w:t>Exercise</w:t>
            </w:r>
          </w:p>
        </w:tc>
        <w:tc>
          <w:tcPr>
            <w:tcW w:w="66" w:type="dxa"/>
            <w:tcBorders/>
            <w:vAlign w:val="bottom"/>
          </w:tcPr>
          <w:p>
            <w:pPr>
              <w:pStyle w:val="TableContents"/>
              <w:bidi w:val="0"/>
              <w:spacing w:before="0" w:after="283"/>
              <w:jc w:val="left"/>
              <w:rPr/>
            </w:pPr>
            <w:r>
              <w:rPr/>
              <w:t> </w:t>
            </w:r>
          </w:p>
        </w:tc>
      </w:tr>
      <w:tr>
        <w:trPr/>
        <w:tc>
          <w:tcPr>
            <w:tcW w:w="4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652"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to be paid by:</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652" w:type="dxa"/>
            <w:tcBorders/>
          </w:tcPr>
          <w:p>
            <w:pPr>
              <w:pStyle w:val="TableContents"/>
              <w:bidi w:val="0"/>
              <w:spacing w:before="0" w:after="0"/>
              <w:jc w:val="left"/>
              <w:rPr>
                <w:rFonts w:ascii="Times New Roman" w:hAnsi="Times New Roman"/>
                <w:sz w:val="20"/>
              </w:rPr>
            </w:pPr>
            <w:r>
              <w:rPr>
                <w:rFonts w:ascii="Times New Roman" w:hAnsi="Times New Roman"/>
                <w:sz w:val="20"/>
              </w:rPr>
              <w:t>The selling stockholder</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8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83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652" w:type="dxa"/>
            <w:tcBorders/>
          </w:tcPr>
          <w:p>
            <w:pPr>
              <w:pStyle w:val="TableContents"/>
              <w:bidi w:val="0"/>
              <w:spacing w:before="0" w:after="0"/>
              <w:jc w:val="left"/>
              <w:rPr>
                <w:rFonts w:ascii="Times New Roman" w:hAnsi="Times New Roman"/>
                <w:sz w:val="20"/>
              </w:rPr>
            </w:pPr>
            <w:r>
              <w:rPr>
                <w:rFonts w:ascii="Times New Roman" w:hAnsi="Times New Roman"/>
                <w:sz w:val="20"/>
              </w:rPr>
              <w:t>Proceeds, before expenses, to selling stockholder</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8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83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estimated offering expenses payable by us, exclusive of the underwriting discounts and commissions, are approximately $    . The selling stockholder has agreed to pay certain of our offering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incurred in connection with this offering, and the selling stockholder will bear all commissions and discounts, if any, from the sale of such selling stockholder’s common stock pursuant to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that, without the prior written consent of Morgan Stanley &amp; Co. LLC, on behalf of the underwriters, subject to certain exceptions specified below, we will not, and will not publicly disclose an intention to, during the period ending 60 days after the date of this prospectus supplement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publicly disclose the intention to make any offer, sale, pledge, disposition or filing, (2) enter into any swap, loan or other arrangement (including, without limitation, any short sale or the purchase or sale of, or entry into, any put or call option, or combination thereof, forward or any other derivative transaction or instrument, however described or defined) that transfers to another, in whole or in part, directly or indirectly, any of the economic consequences of ownership of the common stock, whether any such transaction described in clauses 1 or 2 above is to be settled by delivery of common stock or such other securities, in cash or otherwise, or (3) file any registration statement with the SEC relating to the offering of any shares of common stock or any securities convertible into or exercisable or exchangeable for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restrictions contained in the preceding paragraph do not apply to (A) the shares of common stock to be sold pursuant to this prospectus supplement, (B) the issuance by us of shares of common stock upon the exercise of an option or warrant (including net exercise), settlement of restricted stock units (including net settlement) or the conversion of a security outstanding on the date hereof as described in this prospectus supplement, (C) the grant of compensatory equity-based awards and/or the issuance of shares of common stock with respect thereto, or the filing of any registration statement on Form S-8 (including any resale registration statement on Form S-8) relating to securities granted, issued or to be granted pursuant to any equity incentive plans or employment benefit plans described in this prospectus supplement, (D) common stock or any securities convertible into, or exercisable or exchangeable for, common stock, or the entrance into an agreement to issue common stock or any securities convertible into, or exercisable or exchangeable for, common stock, in connection with any merger, joint venture, strategic alliances, commercial or other collaborative transaction or the acquisition or license of the business, property, technology or other assets of another individual or entity or the assumption of an employee benefit plan in connection with a merger or acquisition; provided that the aggregate number of common stock or any securities convertible into, or exercisable or exchangeable for, common stock that we may issue or agree to issue pursuant to this clause (D) shall not exceed 10% of our total outstanding share capital immediately following the issuance of the shares to be issued under this prospectus supplement, (E) facilitating the establishment of a trading plan on behalf of any of our stockholders, officers or directors pursuant to Rule 10b5-1 under the Exchange Act for the transfer of shares of common stock, provided that (i) such plan does not provide for the transfer of common stock during the lock-up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lock-up period or (F) any shares of common stock issued pursuant to any non-employee director stock plan or dividend reinvestment plan referred to in this prospectus supplement. If Morgan Stanley &amp; Co. LLC, in its sole discretion, agrees to release or waive the restrictions on the transfer of shares of common stock set forth in a lock-up agreement for any of our Section 16 officers or directors and provides us with notice of the impending release or waiver at least three business days before the effective date of the release or waiver, we agree to announce the impending release or waiver by a press release substantially through a major news service at least two business days before the effective date of the release or waiver. </w:t>
      </w:r>
    </w:p>
    <w:p>
      <w:pPr>
        <w:pStyle w:val="TextBody"/>
        <w:bidi w:val="0"/>
        <w:spacing w:before="240" w:after="0"/>
        <w:jc w:val="left"/>
        <w:rPr>
          <w:rFonts w:ascii="Times New Roman" w:hAnsi="Times New Roman"/>
          <w:sz w:val="20"/>
        </w:rPr>
      </w:pPr>
      <w:r>
        <w:rPr>
          <w:rFonts w:ascii="Times New Roman" w:hAnsi="Times New Roman"/>
          <w:sz w:val="20"/>
        </w:rPr>
        <w:t xml:space="preserve">Additionally, all of our directors and Section 16 officers have entered into lock-up agreements with the underwriters, pursuant to which they have agreed that, without the prior written consent of Morgan Stanley &amp;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 LLC, on behalf of the underwriters, such person will not, during the lock-up period, (1) offer, pledge, sell, contract to sell, sell any option or contract to purchase, purchase any option or contract to sell, grant any option, right or warrant to purchase, lend, or otherwise transfer or dispose of, directly or indirectly, any shares of common stock owned or hereafter acquired by the signatory or with respect to which the signatory has or acquires the power of disposition (including, without limitation, common stock or such other securities which may be deemed to be beneficially owned (as such term is used in Rule 13d-3 of the Exchange Act)) and securities which may be issued upon exercise of a stock option or warrant by the signatory or any other securities so owned convertible into or exercisable or exchangeable for common stock or (2) enter into any hedging, swap, loan or other arrangement (including, without limitation, any short sale or the purchase or sale of, or entry into, any put or call option, or combination thereof, forward or any other derivative transaction or instrument, however described or defined) that transfers to another, in whole or in part, directly or indirectly, any of the economic consequences of ownership of the common stock, whether any such transaction described in clause (1) or (2) above is to be settled by delivery of common stock or such other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restrictions contained in the preceding paragraph shall not apply to: (a) transactions relating to shares of common stock or other securities acquired in open market transactions after the consummation of this offering, provided that no public report or filing with the SEC is voluntarily made during the lock-up period (and if such a filing is required, such filing must disclose that such transfer was made pursuant to a valid exemption from the lock-up agreement), (b) transfers, dispositions or distributions of shares of common stock or any security convertible into common stock as: (i) a bona fide gift, including, without limitation, to a charitable organization or educational institution, or for bona fide estate or tax planning purposes, (ii) by will, testamentary document or intestacy, (iii) by operation of law, such as pursuant to a qualified domestic relations order, divorce settlement, divorce decree or separation agreement, (iv) pursuant to an order of a court or regulatory agency having jurisdiction over the signatory, (v) to any corporation, partnership, limited liability company or other entity of which the signatory or the immediate family of the signatory are the legal and beneficial owner of all of the outstanding equity securities or similar interests, (vi) to any member of the signatory’s immediate family or to any trust, partnership, limited liability company or other entity for the direct or indirect benefit of the signatory and/or any member of the signatory’s immediate family, or if the signatory is a trust, to a trustor or beneficiary of the trust or to the estate of the beneficiary of such trust, (vii) to any nominee or custodian of a person or entity to whom a disposition or transfer would be permissible under clauses (i) through (vi) above, or (viii) to us upon the signatory’s death, disability or termination of employment or other service relationship with us, (c) if the signatory is not an individual, distributions of shares of common stock or any security convertible into common stock to: (i) another corporation, partnership, limited liability company, trust or other business entity that is an affiliate (as defined in Rule 405 promulgated under the Securities Act) of the signatory, or to any investment fund or other entity controlling, controlled by, managing or managed by or under common control with the signatory or affiliates of the signatory (including, for the avoidance of doubt, where the signatory is a partnership, to its general partner or a successor partnership or fund, or any other funds managed by such partnership), or (ii) as part of a distribution to limited partners, limited liability company members or stockholders of the signatory or holders of similar equity interests in the signatory, (d) facilitating the establishment of a trading plan on behalf of one or more of our stockholders, officers or directors pursuant to Rule 10b5-1 under the Exchange Act for the transfer of shares of common stock, provided that (i) such plan does not provide for the transfer of common stock during the lock-up period and (ii) to the extent a public announcement or filing under the Exchange Act, if any, is required of or voluntarily made by or on behalf of the signatory or us regarding the establishment of such plan, such announcement or filing shall include a statement to the effect that no transfer of common stock may be made under such plan during the lock-up period, (e) transfers to us in connection with the vesting, exercise or settlement of options, warrants, restricted stock units or other rights to purchase shares of common stock (including, in each case, by way of “net” or “cashless” exercise), including for the payment of exercise price and tax and remittance payments due as a result of the vesting, exercise or settlement of such options, warrants, restricted stock units or rights pursuant to an agreement or equity plan described in this prospectus supplement; provided that any shares of common stock received upon such vesting, exercise or settlement shall be subject to the terms of the lock-up agreement, and provided further that, if any filing with the SEC under Section 16(a) of the Exchange Act on Form 4 or Form 5 is required in connection with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vesting, exercise or settlement, such filing shall indicate in the footnotes thereto that the filing relates to circumstances described in this clause (e), (f) in connection with the sale or other transfer of the signatory’s shares of common stock to satisfy any tax obligations or payments (including estimated taxes) due as a result of (A) the exercise of stock options or (B) the settlement of restricted stock units pursuant to awards granted under an equity plan described in this prospectus supplement, provided that, in each case, any remaining shares of common stock received upon such exercise or settlement shall remain subject to the terms of the lock-up agreement; provided further that, if any filing with the SEC under Section 16(a) of the Exchange Act on Form 4 or Form 5 is required in connection with any such sale or other transfer, such filing shall indicate in the footnotes thereto that the filing relates to circumstances described in this clause (f), (g) pursuant to a bona fide third-party tender offer, merger, consolidation or other similar transaction that is approved by our board of directors and made to all holders of our capital stock involving a change of control; provided that in the event that such tender offer, merger, consolidation or other similar transaction is not completed, the signatory’s shares of common stock and any other securities subject to the lock-up agreement shall remain subject to the provisions of the lock-up agreement, or (h) the exercise of options, the vesting or settlement of restricted stock units or other equity awards or the exercise of warrants granted pursuant to our equity plans or agreements described in this prospectus supplement; provided that any shares of common stock received upon such vesting, exercise or settlement shall be subject to the terms of the lock-up agreement,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Each director and Section 16 officer also agreed that, without the consent of Morgan Stanley &amp; Co. LLC, it will not, during the lock-up period, make any demand for, or exercise any right with respect to, the registration of any shares of common stock or any security convertible into or exercisable or exchangeable for common stock.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in its sole discretion, may release the common stock and other securities subject to the lock-up agreements described above in whole or in part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Nasdaq Global Select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The shares are listed on the Nasdaq Global Select Market under the symbol “PDFS”. </w:t>
      </w:r>
    </w:p>
    <w:p>
      <w:pPr>
        <w:pStyle w:val="TextBody"/>
        <w:bidi w:val="0"/>
        <w:spacing w:before="360" w:after="0"/>
        <w:jc w:val="left"/>
        <w:rPr>
          <w:rFonts w:ascii="Times New Roman" w:hAnsi="Times New Roman"/>
          <w:b/>
          <w:sz w:val="20"/>
        </w:rPr>
      </w:pPr>
      <w:r>
        <w:rPr>
          <w:rFonts w:ascii="Times New Roman" w:hAnsi="Times New Roman"/>
          <w:b/>
          <w:sz w:val="20"/>
        </w:rPr>
        <w:t xml:space="preserve">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A prospectus supplement in electronic format may be made available on websites maintained by one or more underwriters, or selling group members, if any, participating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to us from this offering for general corporate purposes, which may include the repayment of indebtedness. Because an affiliate of Wells Fargo Securities, LLC is the administrative agent under our Credit Agreement and may receive at least 5% of the net proceeds of this offering, Wells Fargo Securities, LLC could be deemed to have a “conflict of interest” under FINRA Rule 5121. Accordingly, this offering will be made in compliance with the applicable provisions of Rule 5121. The appointment of a “qualified independent underwriter” is not required in connection with this offering because a “bona fide public market,” as defined in Rule 5121, exists for our common stock. In accordance with Rule 5121, none of the underwriters having a “conflict of interest” will confirm sales to discretionary accounts without the prior specific written consent of the account holder. </w:t>
      </w:r>
    </w:p>
    <w:p>
      <w:pPr>
        <w:pStyle w:val="TextBody"/>
        <w:bidi w:val="0"/>
        <w:spacing w:before="240" w:after="0"/>
        <w:jc w:val="left"/>
        <w:rPr>
          <w:rFonts w:ascii="Times New Roman" w:hAnsi="Times New Roman"/>
          <w:sz w:val="20"/>
        </w:rPr>
      </w:pPr>
      <w:r>
        <w:rPr>
          <w:rFonts w:ascii="Times New Roman" w:hAnsi="Times New Roman"/>
          <w:sz w:val="20"/>
        </w:rPr>
        <w:t xml:space="preserve">Bernstein Institutional Services LLC is serving as selling agent on behalf of SG Americas Securities, LLC in the offering described herein. Bernstein Institutional Services LLC and certain of its affiliates may provide investor feedback, research, market sounding, block monitoring, market intelligence, historical market or trading information, and origination and deal execution support to SG Americas Securities, LLC in connection with this offering and may also provide such services in the general course of business. </w:t>
      </w:r>
    </w:p>
    <w:p>
      <w:pPr>
        <w:pStyle w:val="TextBody"/>
        <w:bidi w:val="0"/>
        <w:spacing w:before="360" w:after="0"/>
        <w:jc w:val="left"/>
        <w:rPr>
          <w:rFonts w:ascii="Times New Roman" w:hAnsi="Times New Roman"/>
          <w:b/>
          <w:sz w:val="20"/>
        </w:rPr>
      </w:pPr>
      <w:r>
        <w:rPr>
          <w:rFonts w:ascii="Times New Roman" w:hAnsi="Times New Roman"/>
          <w:b/>
          <w:sz w:val="20"/>
        </w:rPr>
        <w:t>Selling Restrictions</w:t>
      </w:r>
    </w:p>
    <w:p>
      <w:pPr>
        <w:pStyle w:val="TextBody"/>
        <w:bidi w:val="0"/>
        <w:spacing w:before="120" w:after="0"/>
        <w:jc w:val="left"/>
        <w:rPr>
          <w:rFonts w:ascii="Times New Roman" w:hAnsi="Times New Roman"/>
          <w:b/>
          <w:i/>
          <w:sz w:val="20"/>
        </w:rPr>
      </w:pPr>
      <w:r>
        <w:rPr>
          <w:rFonts w:ascii="Times New Roman" w:hAnsi="Times New Roman"/>
          <w:b/>
          <w:i/>
          <w:sz w:val="20"/>
        </w:rPr>
        <w:t>European Economic Area</w:t>
      </w:r>
    </w:p>
    <w:p>
      <w:pPr>
        <w:pStyle w:val="TextBody"/>
        <w:bidi w:val="0"/>
        <w:spacing w:before="120" w:after="0"/>
        <w:jc w:val="left"/>
        <w:rPr>
          <w:rFonts w:ascii="Times New Roman" w:hAnsi="Times New Roman"/>
          <w:sz w:val="20"/>
        </w:rPr>
      </w:pPr>
      <w:r>
        <w:rPr>
          <w:rFonts w:ascii="Times New Roman" w:hAnsi="Times New Roman"/>
          <w:sz w:val="20"/>
        </w:rPr>
        <w:t>In relation to each Member State of the European Economic Area (each, a “Member State”), no shares of our common stock have been offered or will be offered pursuant to the offering to the public in that Member State prior to the publication of a prospectus in relation to our common stock which has been approved by the competent authority in that Member State or, where appropriate, approved in another Member State and notified to the competent authority in that Member State, all in accordance with the Prospectus Regulation, except that offers of our common stock may be made to the public in that Member State at any time under the following exemptions under the Prospectus Regulation:</w:t>
      </w:r>
    </w:p>
    <w:p>
      <w:pPr>
        <w:pStyle w:val="TextBody"/>
        <w:bidi w:val="0"/>
        <w:spacing w:before="120" w:after="0"/>
        <w:jc w:val="left"/>
        <w:rPr>
          <w:rFonts w:ascii="Times New Roman" w:hAnsi="Times New Roman"/>
          <w:sz w:val="20"/>
        </w:rPr>
      </w:pPr>
      <w:r>
        <w:rPr>
          <w:rFonts w:ascii="Times New Roman" w:hAnsi="Times New Roman"/>
          <w:sz w:val="20"/>
        </w:rPr>
        <w:t xml:space="preserve">a.to any legal entity which is a qualified investor as defined in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b.to fewer than 150 natural or legal persons (other than qualified investors as defined in the Prospectus Regulation), subject to obtaining the prior consent of the representatives; or </w:t>
      </w:r>
    </w:p>
    <w:p>
      <w:pPr>
        <w:pStyle w:val="TextBody"/>
        <w:bidi w:val="0"/>
        <w:spacing w:before="240" w:after="0"/>
        <w:jc w:val="left"/>
        <w:rPr>
          <w:rFonts w:ascii="Times New Roman" w:hAnsi="Times New Roman"/>
          <w:sz w:val="20"/>
        </w:rPr>
      </w:pPr>
      <w:r>
        <w:rPr>
          <w:rFonts w:ascii="Times New Roman" w:hAnsi="Times New Roman"/>
          <w:sz w:val="20"/>
        </w:rPr>
        <w:t xml:space="preserve">c.in any other circumstances falling within Article 1(4) of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provided that no such offer of shares shall require us or any of the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within the meaning of Article 2(e) of the Prospectus Regulation.</w:t>
      </w:r>
    </w:p>
    <w:p>
      <w:pPr>
        <w:pStyle w:val="TextBody"/>
        <w:bidi w:val="0"/>
        <w:spacing w:before="240" w:after="0"/>
        <w:jc w:val="left"/>
        <w:rPr>
          <w:rFonts w:ascii="Times New Roman" w:hAnsi="Times New Roman"/>
          <w:sz w:val="20"/>
        </w:rPr>
      </w:pPr>
      <w:r>
        <w:rPr>
          <w:rFonts w:ascii="Times New Roman" w:hAnsi="Times New Roman"/>
          <w:sz w:val="20"/>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pStyle w:val="TextBody"/>
        <w:bidi w:val="0"/>
        <w:spacing w:before="240" w:after="0"/>
        <w:jc w:val="left"/>
        <w:rPr>
          <w:rFonts w:ascii="Times New Roman" w:hAnsi="Times New Roman"/>
          <w:sz w:val="20"/>
        </w:rPr>
      </w:pPr>
      <w:r>
        <w:rPr>
          <w:rFonts w:ascii="Times New Roman" w:hAnsi="Times New Roman"/>
          <w:sz w:val="20"/>
        </w:rPr>
        <w:t>For the purposes of this provision, the expression an “offer of shares to the public” in relation to any shares in any Member State means the communication in any form and by any means of sufficient information on the terms of the offer and the shares of our common stock to be offered so as to enable an investor to decide to purchase or subscribe for any shares of our common stock, the expression “Prospectus Regulation” means Regulation (EU) 2017/1129 (as amended).</w:t>
      </w:r>
    </w:p>
    <w:p>
      <w:pPr>
        <w:pStyle w:val="TextBody"/>
        <w:bidi w:val="0"/>
        <w:spacing w:before="360" w:after="0"/>
        <w:jc w:val="left"/>
        <w:rPr>
          <w:rFonts w:ascii="Times New Roman" w:hAnsi="Times New Roman"/>
          <w:b/>
          <w:i/>
          <w:sz w:val="20"/>
        </w:rPr>
      </w:pPr>
      <w:r>
        <w:rPr>
          <w:rFonts w:ascii="Times New Roman" w:hAnsi="Times New Roman"/>
          <w:b/>
          <w:i/>
          <w:sz w:val="20"/>
        </w:rPr>
        <w:t>United Kingdom</w:t>
      </w:r>
    </w:p>
    <w:p>
      <w:pPr>
        <w:pStyle w:val="TextBody"/>
        <w:bidi w:val="0"/>
        <w:spacing w:before="120" w:after="0"/>
        <w:jc w:val="left"/>
        <w:rPr>
          <w:rFonts w:ascii="Times New Roman" w:hAnsi="Times New Roman"/>
          <w:sz w:val="20"/>
        </w:rPr>
      </w:pPr>
      <w:r>
        <w:rPr>
          <w:rFonts w:ascii="Times New Roman" w:hAnsi="Times New Roman"/>
          <w:sz w:val="20"/>
        </w:rPr>
        <w:t>No shares of our common stock have been offered or will be offered pursuant to the offering to the public in the UK prior to the publication of a prospectus in relation to the shares of common stock which (i) has been approved by the Financial Conduct Authority or (ii) is to be treated as if it had been approved by the Financial Conduct Authority in accordance with the transitional provisions in Article 74 (transitional provisions) of the Prospectus Amendment etc. (EU Exit) Regulations 2019/1234, except that shares of our common stock may be offered to the public in the UK at any time:</w:t>
      </w:r>
    </w:p>
    <w:p>
      <w:pPr>
        <w:pStyle w:val="TextBody"/>
        <w:bidi w:val="0"/>
        <w:spacing w:before="120" w:after="0"/>
        <w:jc w:val="left"/>
        <w:rPr>
          <w:rFonts w:ascii="Times New Roman" w:hAnsi="Times New Roman"/>
          <w:sz w:val="20"/>
        </w:rPr>
      </w:pPr>
      <w:r>
        <w:rPr>
          <w:rFonts w:ascii="Times New Roman" w:hAnsi="Times New Roman"/>
          <w:sz w:val="20"/>
        </w:rPr>
        <w:t xml:space="preserve">a.to any legal entity which is a qualified investor as defined under Article 2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b.to fewer than 150 natural or legal persons (other than qualified investors as defined under Article 2 of the UK Prospectus Regulation), subject to obtaining the prior consent of underwriters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c.in any other circumstances falling within Section 86 of the Financial Services and Markets Act 2000 (“FSMA”), </w:t>
      </w:r>
    </w:p>
    <w:p>
      <w:pPr>
        <w:pStyle w:val="TextBody"/>
        <w:bidi w:val="0"/>
        <w:spacing w:before="240" w:after="0"/>
        <w:jc w:val="left"/>
        <w:rPr>
          <w:rFonts w:ascii="Times New Roman" w:hAnsi="Times New Roman"/>
          <w:sz w:val="20"/>
        </w:rPr>
      </w:pPr>
      <w:r>
        <w:rPr>
          <w:rFonts w:ascii="Times New Roman" w:hAnsi="Times New Roman"/>
          <w:i/>
          <w:sz w:val="20"/>
        </w:rPr>
        <w:t>provided that</w:t>
      </w:r>
      <w:r>
        <w:rPr>
          <w:rFonts w:ascii="Times New Roman" w:hAnsi="Times New Roman"/>
          <w:sz w:val="20"/>
        </w:rPr>
        <w:t xml:space="preserve"> no such offer of shares of our common stock shall require us or any underwriter to publish a prospectus pursuant to Section 85 of the FSMA or supplement a prospectus pursuant to Article 23 of the UK Prospectus Regulation. For the purposes of this provision, the expression an “offer to the public” in relation to the shares of our common stock in the UK means the communication in any form and by any means of sufficient information on the terms of the offer and any shares of our common stock to be offered so as to enable an investor to decide to purchase or subscribe for any shares of our common stock and the expression “UK Prospectus Regulation” means Regulation (EU) 2017/1129 as it forms part of UK domestic law by virtue of the European Union (Withdrawal) Act 2018, as amended by the European Union (Withdrawal Agreement) Act 2020.</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UK,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FSMA (Financial Promotion) Order 2005, as amended (the “Order”), and/or (ii) who are high net worth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of our common stock in the UK within the meaning of the FSMA.</w:t>
      </w:r>
    </w:p>
    <w:p>
      <w:pPr>
        <w:pStyle w:val="TextBody"/>
        <w:bidi w:val="0"/>
        <w:spacing w:before="240" w:after="0"/>
        <w:jc w:val="left"/>
        <w:rPr>
          <w:rFonts w:ascii="Times New Roman" w:hAnsi="Times New Roman"/>
          <w:sz w:val="20"/>
        </w:rPr>
      </w:pPr>
      <w:r>
        <w:rPr>
          <w:rFonts w:ascii="Times New Roman" w:hAnsi="Times New Roman"/>
          <w:sz w:val="20"/>
        </w:rPr>
        <w:t>Any person in the UK that is not a relevant person should not act or rely on the information included in this document or use it as basis for taking any action. In the UK, any investment or investment activity that this document relates to may be made or taken exclusively by relevant persons.</w:t>
      </w:r>
    </w:p>
    <w:p>
      <w:pPr>
        <w:pStyle w:val="TextBody"/>
        <w:bidi w:val="0"/>
        <w:spacing w:before="360" w:after="0"/>
        <w:jc w:val="left"/>
        <w:rPr>
          <w:rFonts w:ascii="Times New Roman" w:hAnsi="Times New Roman"/>
          <w:b/>
          <w:i/>
          <w:sz w:val="20"/>
        </w:rPr>
      </w:pPr>
      <w:r>
        <w:rPr>
          <w:rFonts w:ascii="Times New Roman" w:hAnsi="Times New Roman"/>
          <w:b/>
          <w:i/>
          <w:sz w:val="20"/>
        </w:rPr>
        <w:t>Japan</w:t>
      </w:r>
    </w:p>
    <w:p>
      <w:pPr>
        <w:pStyle w:val="TextBody"/>
        <w:bidi w:val="0"/>
        <w:spacing w:before="120" w:after="0"/>
        <w:jc w:val="left"/>
        <w:rPr>
          <w:rFonts w:ascii="Times New Roman" w:hAnsi="Times New Roman"/>
          <w:sz w:val="20"/>
        </w:rPr>
      </w:pPr>
      <w:r>
        <w:rPr>
          <w:rFonts w:ascii="Times New Roman" w:hAnsi="Times New Roman"/>
          <w:sz w:val="20"/>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pStyle w:val="TextBody"/>
        <w:bidi w:val="0"/>
        <w:spacing w:before="240" w:after="0"/>
        <w:jc w:val="left"/>
        <w:rPr>
          <w:rFonts w:ascii="Times New Roman" w:hAnsi="Times New Roman"/>
          <w:sz w:val="20"/>
        </w:rPr>
      </w:pPr>
      <w:r>
        <w:rPr>
          <w:rFonts w:ascii="Times New Roman" w:hAnsi="Times New Roman"/>
          <w:sz w:val="20"/>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pStyle w:val="TextBody"/>
        <w:bidi w:val="0"/>
        <w:spacing w:before="360" w:after="0"/>
        <w:jc w:val="left"/>
        <w:rPr>
          <w:rFonts w:ascii="Times New Roman" w:hAnsi="Times New Roman"/>
          <w:b/>
          <w:i/>
          <w:sz w:val="20"/>
        </w:rPr>
      </w:pPr>
      <w:r>
        <w:rPr>
          <w:rFonts w:ascii="Times New Roman" w:hAnsi="Times New Roman"/>
          <w:b/>
          <w:i/>
          <w:sz w:val="20"/>
        </w:rPr>
        <w:t>For Qualified Institutional Investors (“QII”)</w:t>
      </w:r>
    </w:p>
    <w:p>
      <w:pPr>
        <w:pStyle w:val="TextBody"/>
        <w:bidi w:val="0"/>
        <w:spacing w:before="120" w:after="0"/>
        <w:jc w:val="left"/>
        <w:rPr>
          <w:rFonts w:ascii="Times New Roman" w:hAnsi="Times New Roman"/>
          <w:sz w:val="20"/>
        </w:rPr>
      </w:pPr>
      <w:r>
        <w:rPr>
          <w:rFonts w:ascii="Times New Roman" w:hAnsi="Times New Roman"/>
          <w:sz w:val="20"/>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pStyle w:val="TextBody"/>
        <w:bidi w:val="0"/>
        <w:spacing w:before="360" w:after="0"/>
        <w:jc w:val="left"/>
        <w:rPr>
          <w:rFonts w:ascii="Times New Roman" w:hAnsi="Times New Roman"/>
          <w:b/>
          <w:i/>
          <w:sz w:val="20"/>
        </w:rPr>
      </w:pPr>
      <w:r>
        <w:rPr>
          <w:rFonts w:ascii="Times New Roman" w:hAnsi="Times New Roman"/>
          <w:b/>
          <w:i/>
          <w:sz w:val="20"/>
        </w:rPr>
        <w:t>For Non-QII Investors</w:t>
      </w:r>
    </w:p>
    <w:p>
      <w:pPr>
        <w:pStyle w:val="TextBody"/>
        <w:bidi w:val="0"/>
        <w:spacing w:before="120" w:after="0"/>
        <w:jc w:val="left"/>
        <w:rPr>
          <w:rFonts w:ascii="Times New Roman" w:hAnsi="Times New Roman"/>
          <w:sz w:val="20"/>
        </w:rPr>
      </w:pPr>
      <w:r>
        <w:rPr>
          <w:rFonts w:ascii="Times New Roman" w:hAnsi="Times New Roman"/>
          <w:sz w:val="20"/>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pStyle w:val="TextBody"/>
        <w:bidi w:val="0"/>
        <w:spacing w:before="360" w:after="0"/>
        <w:jc w:val="left"/>
        <w:rPr>
          <w:rFonts w:ascii="Times New Roman" w:hAnsi="Times New Roman"/>
          <w:b/>
          <w:i/>
          <w:sz w:val="20"/>
        </w:rPr>
      </w:pPr>
      <w:r>
        <w:rPr>
          <w:rFonts w:ascii="Times New Roman" w:hAnsi="Times New Roman"/>
          <w:b/>
          <w:i/>
          <w:sz w:val="20"/>
        </w:rPr>
        <w:t>Brazil</w:t>
      </w:r>
    </w:p>
    <w:p>
      <w:pPr>
        <w:pStyle w:val="TextBody"/>
        <w:bidi w:val="0"/>
        <w:spacing w:before="120" w:after="0"/>
        <w:jc w:val="left"/>
        <w:rPr>
          <w:rFonts w:ascii="Times New Roman" w:hAnsi="Times New Roman"/>
          <w:sz w:val="20"/>
        </w:rPr>
      </w:pPr>
      <w:r>
        <w:rPr>
          <w:rFonts w:ascii="Times New Roman" w:hAnsi="Times New Roman"/>
          <w:sz w:val="20"/>
        </w:rPr>
        <w:t>The offer and sale of our shares of common stock has not been, and will not be, registered (or exempted from registration) with the Brazilian securities commission, Comissão de Valores Mobiliários, or CVM, and, therefore, will not be carried out by any means that would constitute a public offering in Brazil under CVM resolution No. 160, dated July 13, 2022, as amended (“CVM Resolution 160”), or unauthorized distribution under Brazilian laws and regulations. The shares of our common stock will be authorized for trading on organized non-Brazilian securities markets and may only be offered to Brazilian professional investors (as defined by applicable CVM regulation), who may only acquire our shares of common stock through a non-Brazilian account, with settlement outside Brazil in non-Brazilian currency. The trading of these securities on regulated securities markets in Brazil is prohibited.</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Switzerland</w:t>
      </w:r>
    </w:p>
    <w:p>
      <w:pPr>
        <w:pStyle w:val="TextBody"/>
        <w:bidi w:val="0"/>
        <w:spacing w:before="120" w:after="0"/>
        <w:jc w:val="left"/>
        <w:rPr>
          <w:rFonts w:ascii="Times New Roman" w:hAnsi="Times New Roman"/>
          <w:sz w:val="20"/>
        </w:rPr>
      </w:pPr>
      <w:r>
        <w:rPr>
          <w:rFonts w:ascii="Times New Roman" w:hAnsi="Times New Roman"/>
          <w:sz w:val="20"/>
        </w:rPr>
        <w:t>The shares of common stock may not be publicly offered in Switzerland and will not be listed on the SIX Swiss Exchange (“SIX”) or on any other stock exchange or regulated trading facility in Switzerland.</w:t>
      </w:r>
    </w:p>
    <w:p>
      <w:pPr>
        <w:pStyle w:val="TextBody"/>
        <w:bidi w:val="0"/>
        <w:spacing w:before="240" w:after="0"/>
        <w:jc w:val="left"/>
        <w:rPr>
          <w:rFonts w:ascii="Times New Roman" w:hAnsi="Times New Roman"/>
          <w:sz w:val="20"/>
        </w:rPr>
      </w:pPr>
      <w:r>
        <w:rPr>
          <w:rFonts w:ascii="Times New Roman" w:hAnsi="Times New Roman"/>
          <w:sz w:val="20"/>
        </w:rPr>
        <w:t>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our common stock or the offering may be publicly distributed or otherwise made publicly available in Switzerland. Neither this document nor any other offering or marketing material relating to the offering, us, or the shares of our common stock have been or will be filed with or approved by any Swiss regulatory authority. In particular, this document will not be filed with, and the offer of our common stock will not be supervised by, the Swiss Financial Market Supervisory Authority FINMA (“FINMA”), and the offer of common stock has not been and will not be authorized under the Swiss Federal Act on Collective Investment Schemes (“CISA”). The investor protection afforded to acquirers of interests in collective investment schemes under the CISA does not extend to acquirers of shares of our common stock.</w:t>
      </w:r>
    </w:p>
    <w:p>
      <w:pPr>
        <w:pStyle w:val="TextBody"/>
        <w:bidi w:val="0"/>
        <w:spacing w:before="360" w:after="0"/>
        <w:jc w:val="left"/>
        <w:rPr>
          <w:rFonts w:ascii="Times New Roman" w:hAnsi="Times New Roman"/>
          <w:b/>
          <w:i/>
          <w:sz w:val="20"/>
        </w:rPr>
      </w:pPr>
      <w:r>
        <w:rPr>
          <w:rFonts w:ascii="Times New Roman" w:hAnsi="Times New Roman"/>
          <w:b/>
          <w:i/>
          <w:sz w:val="20"/>
        </w:rPr>
        <w:t>Canada</w:t>
      </w:r>
    </w:p>
    <w:p>
      <w:pPr>
        <w:pStyle w:val="TextBody"/>
        <w:bidi w:val="0"/>
        <w:spacing w:before="120" w:after="0"/>
        <w:jc w:val="left"/>
        <w:rPr>
          <w:rFonts w:ascii="Times New Roman" w:hAnsi="Times New Roman"/>
          <w:sz w:val="20"/>
        </w:rPr>
      </w:pPr>
      <w:r>
        <w:rPr>
          <w:rFonts w:ascii="Times New Roman" w:hAnsi="Times New Roman"/>
          <w:sz w:val="20"/>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pStyle w:val="TextBody"/>
        <w:bidi w:val="0"/>
        <w:spacing w:before="240" w:after="0"/>
        <w:jc w:val="left"/>
        <w:rPr>
          <w:rFonts w:ascii="Times New Roman" w:hAnsi="Times New Roman"/>
          <w:sz w:val="20"/>
        </w:rPr>
      </w:pPr>
      <w:r>
        <w:rPr>
          <w:rFonts w:ascii="Times New Roman" w:hAnsi="Times New Roman"/>
          <w:sz w:val="20"/>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240" w:after="0"/>
        <w:jc w:val="left"/>
        <w:rPr>
          <w:rFonts w:ascii="Times New Roman" w:hAnsi="Times New Roman"/>
          <w:sz w:val="20"/>
        </w:rPr>
      </w:pPr>
      <w:r>
        <w:rPr>
          <w:rFonts w:ascii="Times New Roman" w:hAnsi="Times New Roman"/>
          <w:sz w:val="20"/>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pStyle w:val="TextBody"/>
        <w:bidi w:val="0"/>
        <w:spacing w:before="360" w:after="0"/>
        <w:jc w:val="left"/>
        <w:rPr>
          <w:rFonts w:ascii="Times New Roman" w:hAnsi="Times New Roman"/>
          <w:b/>
          <w:i/>
          <w:sz w:val="20"/>
        </w:rPr>
      </w:pPr>
      <w:r>
        <w:rPr>
          <w:rFonts w:ascii="Times New Roman" w:hAnsi="Times New Roman"/>
          <w:b/>
          <w:i/>
          <w:sz w:val="20"/>
        </w:rPr>
        <w:t>Hong Kong</w:t>
      </w:r>
    </w:p>
    <w:p>
      <w:pPr>
        <w:pStyle w:val="TextBody"/>
        <w:bidi w:val="0"/>
        <w:spacing w:before="120" w:after="0"/>
        <w:jc w:val="left"/>
        <w:rPr>
          <w:rFonts w:ascii="Times New Roman" w:hAnsi="Times New Roman"/>
          <w:sz w:val="20"/>
        </w:rPr>
      </w:pPr>
      <w:r>
        <w:rPr>
          <w:rFonts w:ascii="Times New Roman" w:hAnsi="Times New Roman"/>
          <w:sz w:val="20"/>
        </w:rPr>
        <w:t>Shares of our common stock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 571, Laws of Hong Kong) and any rules made thereunder.</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Singapore</w:t>
      </w:r>
    </w:p>
    <w:p>
      <w:pPr>
        <w:pStyle w:val="TextBody"/>
        <w:bidi w:val="0"/>
        <w:spacing w:before="120" w:after="0"/>
        <w:jc w:val="left"/>
        <w:rPr>
          <w:rFonts w:ascii="Times New Roman" w:hAnsi="Times New Roman"/>
          <w:sz w:val="20"/>
        </w:rPr>
      </w:pPr>
      <w:r>
        <w:rPr>
          <w:rFonts w:ascii="Times New Roman" w:hAnsi="Times New Roman"/>
          <w:sz w:val="20"/>
        </w:rPr>
        <w:t>This prospectus supplement has not been registered as a prospectus with the Monetary Authority of Singapore. Accordingly, this prospectus supplement and any other document or material in connection with the offer or sale, or invitation for subscription or purchase, of shares of our common stock may not be circulated or distributed, nor may the shares of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pStyle w:val="TextBody"/>
        <w:bidi w:val="0"/>
        <w:spacing w:before="240" w:after="0"/>
        <w:jc w:val="left"/>
        <w:rPr>
          <w:rFonts w:ascii="Times New Roman" w:hAnsi="Times New Roman"/>
          <w:sz w:val="20"/>
        </w:rPr>
      </w:pPr>
      <w:r>
        <w:rPr>
          <w:rFonts w:ascii="Times New Roman" w:hAnsi="Times New Roman"/>
          <w:sz w:val="20"/>
        </w:rPr>
        <w:t>Where shares of common stock are subscribed or purchased under Section 275 by a relevant person which is:</w:t>
      </w:r>
    </w:p>
    <w:p>
      <w:pPr>
        <w:pStyle w:val="TextBody"/>
        <w:bidi w:val="0"/>
        <w:spacing w:before="120" w:after="0"/>
        <w:jc w:val="left"/>
        <w:rPr>
          <w:rFonts w:ascii="Times New Roman" w:hAnsi="Times New Roman"/>
          <w:sz w:val="20"/>
        </w:rPr>
      </w:pPr>
      <w:r>
        <w:rPr>
          <w:rFonts w:ascii="Times New Roman" w:hAnsi="Times New Roman"/>
          <w:sz w:val="20"/>
        </w:rPr>
        <w:t xml:space="preserve">a. a corporation (which is not an accredited investor (as defined in Section 4A of the SFA)) the sole business of which is to hold investments and the entire share capital of which is owned by one or more individuals, each of whom is an accredited investor; or </w:t>
      </w:r>
    </w:p>
    <w:p>
      <w:pPr>
        <w:pStyle w:val="TextBody"/>
        <w:bidi w:val="0"/>
        <w:spacing w:before="240" w:after="0"/>
        <w:jc w:val="left"/>
        <w:rPr>
          <w:rFonts w:ascii="Times New Roman" w:hAnsi="Times New Roman"/>
          <w:sz w:val="20"/>
        </w:rPr>
      </w:pPr>
      <w:r>
        <w:rPr>
          <w:rFonts w:ascii="Times New Roman" w:hAnsi="Times New Roman"/>
          <w:sz w:val="20"/>
        </w:rPr>
        <w:t xml:space="preserve">b. a trust (where the trustee is not an accredited investor) whose sole purpose is to hold investments and each beneficiary of the trust is an individual who is an accredited investor, securities or securities based derivatives contracts (each as defined in Section 2(1) of the SFA) of that corporation or the beneficiaries’ rights and interest in that trust shall not be transferable within six months after that corporation or that trust has acquired shares of common stock under Section 275 of the SFA except: </w:t>
      </w:r>
    </w:p>
    <w:p>
      <w:pPr>
        <w:pStyle w:val="TextBody"/>
        <w:bidi w:val="0"/>
        <w:spacing w:before="120" w:after="0"/>
        <w:jc w:val="left"/>
        <w:rPr>
          <w:rFonts w:ascii="Times New Roman" w:hAnsi="Times New Roman"/>
          <w:sz w:val="20"/>
        </w:rPr>
      </w:pPr>
      <w:r>
        <w:rPr>
          <w:rFonts w:ascii="Times New Roman" w:hAnsi="Times New Roman"/>
          <w:sz w:val="20"/>
        </w:rPr>
        <w:t xml:space="preserve">(1) to an institutional investor or to a relevant person, or to any person pursuant to Section 275(1A), and in accordance with the conditions, specified in Section 275 of the SFA; </w:t>
      </w:r>
    </w:p>
    <w:p>
      <w:pPr>
        <w:pStyle w:val="TextBody"/>
        <w:bidi w:val="0"/>
        <w:spacing w:before="240" w:after="0"/>
        <w:jc w:val="left"/>
        <w:rPr>
          <w:rFonts w:ascii="Times New Roman" w:hAnsi="Times New Roman"/>
          <w:sz w:val="20"/>
        </w:rPr>
      </w:pPr>
      <w:r>
        <w:rPr>
          <w:rFonts w:ascii="Times New Roman" w:hAnsi="Times New Roman"/>
          <w:sz w:val="20"/>
        </w:rPr>
        <w:t xml:space="preserve">(2) where no consideration is or will be given for the transfer; </w:t>
      </w:r>
    </w:p>
    <w:p>
      <w:pPr>
        <w:pStyle w:val="TextBody"/>
        <w:bidi w:val="0"/>
        <w:spacing w:before="240" w:after="0"/>
        <w:jc w:val="left"/>
        <w:rPr>
          <w:rFonts w:ascii="Times New Roman" w:hAnsi="Times New Roman"/>
          <w:sz w:val="20"/>
        </w:rPr>
      </w:pPr>
      <w:r>
        <w:rPr>
          <w:rFonts w:ascii="Times New Roman" w:hAnsi="Times New Roman"/>
          <w:sz w:val="20"/>
        </w:rPr>
        <w:t xml:space="preserve">(3) where the transfer is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(4) as specified in Section 276(7) of the SFA; or </w:t>
      </w:r>
    </w:p>
    <w:p>
      <w:pPr>
        <w:pStyle w:val="TextBody"/>
        <w:bidi w:val="0"/>
        <w:spacing w:before="240" w:after="0"/>
        <w:jc w:val="left"/>
        <w:rPr>
          <w:rFonts w:ascii="Times New Roman" w:hAnsi="Times New Roman"/>
          <w:sz w:val="20"/>
        </w:rPr>
      </w:pPr>
      <w:r>
        <w:rPr>
          <w:rFonts w:ascii="Times New Roman" w:hAnsi="Times New Roman"/>
          <w:sz w:val="20"/>
        </w:rPr>
        <w:t xml:space="preserve">(5) as specified in Regulation 37A of the Securities and Futures (Offers of Investments) (Securities and Securities based Derivatives Contracts) Regulation 2018. </w:t>
      </w:r>
    </w:p>
    <w:p>
      <w:pPr>
        <w:pStyle w:val="TextBody"/>
        <w:bidi w:val="0"/>
        <w:spacing w:before="240" w:after="0"/>
        <w:jc w:val="left"/>
        <w:rPr>
          <w:rFonts w:ascii="Times New Roman" w:hAnsi="Times New Roman"/>
          <w:sz w:val="20"/>
        </w:rPr>
      </w:pPr>
      <w:r>
        <w:rPr>
          <w:rFonts w:ascii="Times New Roman" w:hAnsi="Times New Roman"/>
          <w:sz w:val="20"/>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pStyle w:val="TextBody"/>
        <w:bidi w:val="0"/>
        <w:spacing w:before="360" w:after="0"/>
        <w:jc w:val="left"/>
        <w:rPr>
          <w:rFonts w:ascii="Times New Roman" w:hAnsi="Times New Roman"/>
          <w:b/>
          <w:i/>
          <w:sz w:val="20"/>
        </w:rPr>
      </w:pPr>
      <w:r>
        <w:rPr>
          <w:rFonts w:ascii="Times New Roman" w:hAnsi="Times New Roman"/>
          <w:b/>
          <w:i/>
          <w:sz w:val="20"/>
        </w:rPr>
        <w:t>Australia</w:t>
      </w:r>
    </w:p>
    <w:p>
      <w:pPr>
        <w:pStyle w:val="TextBody"/>
        <w:bidi w:val="0"/>
        <w:spacing w:before="120" w:after="0"/>
        <w:jc w:val="left"/>
        <w:rPr>
          <w:rFonts w:ascii="Times New Roman" w:hAnsi="Times New Roman"/>
          <w:sz w:val="20"/>
        </w:rPr>
      </w:pPr>
      <w:r>
        <w:rPr>
          <w:rFonts w:ascii="Times New Roman" w:hAnsi="Times New Roman"/>
          <w:sz w:val="20"/>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shares may only be made to persons (the “Exempt Investors”) who are “sophisticated investors” (within the meaning of section 708(8) of the Corporations Act), “professional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pStyle w:val="TextBody"/>
        <w:bidi w:val="0"/>
        <w:spacing w:before="240" w:after="0"/>
        <w:jc w:val="left"/>
        <w:rPr>
          <w:rFonts w:ascii="Times New Roman" w:hAnsi="Times New Roman"/>
          <w:sz w:val="20"/>
        </w:rPr>
      </w:pPr>
      <w:r>
        <w:rPr>
          <w:rFonts w:ascii="Times New Roman" w:hAnsi="Times New Roman"/>
          <w:sz w:val="20"/>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pStyle w:val="TextBody"/>
        <w:bidi w:val="0"/>
        <w:spacing w:before="240" w:after="0"/>
        <w:jc w:val="left"/>
        <w:rPr>
          <w:rFonts w:ascii="Times New Roman" w:hAnsi="Times New Roman"/>
          <w:sz w:val="20"/>
        </w:rPr>
      </w:pPr>
      <w:r>
        <w:rPr>
          <w:rFonts w:ascii="Times New Roman" w:hAnsi="Times New Roman"/>
          <w:sz w:val="20"/>
        </w:rPr>
        <w:t>This prospectus supplement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for their needs, objectives, and circumstances and, if necessary, seek expert advice on those matters.</w:t>
      </w:r>
    </w:p>
    <w:p>
      <w:pPr>
        <w:pStyle w:val="TextBody"/>
        <w:bidi w:val="0"/>
        <w:spacing w:before="360" w:after="0"/>
        <w:jc w:val="left"/>
        <w:rPr>
          <w:rFonts w:ascii="Times New Roman" w:hAnsi="Times New Roman"/>
          <w:b/>
          <w:i/>
          <w:sz w:val="20"/>
        </w:rPr>
      </w:pPr>
      <w:r>
        <w:rPr>
          <w:rFonts w:ascii="Times New Roman" w:hAnsi="Times New Roman"/>
          <w:b/>
          <w:i/>
          <w:sz w:val="20"/>
        </w:rPr>
        <w:t>Dubai International Financial Centre</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Offered Securities Rules of the Dubai Financial Services Authority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of common stock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x110879_13"/>
      <w:bookmarkEnd w:id="1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hereby will be passed upon for us by Latham &amp; Watkins LLP. The underwriters are being represented by Goodwin Procter LLP in connection with this offering. </w:t>
      </w:r>
    </w:p>
    <w:p>
      <w:pPr>
        <w:pStyle w:val="TextBody"/>
        <w:bidi w:val="0"/>
        <w:spacing w:before="480" w:after="0"/>
        <w:jc w:val="center"/>
        <w:rPr>
          <w:rFonts w:ascii="Times New Roman" w:hAnsi="Times New Roman"/>
          <w:b/>
          <w:sz w:val="20"/>
        </w:rPr>
      </w:pPr>
      <w:bookmarkStart w:id="17" w:name="supptx110879_14"/>
      <w:bookmarkEnd w:id="1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PDF Solutions, Inc. as of December 31, 2025 and 2024 and for each of the three years in the period ended December 31, 2025, and management’s assessment of the effectiveness of internal control over financial reporting (which is included in Management’s Report on Internal Control over Financial Reporting) as of December 31, 2025, incorporated in this prospectus supplement by reference to the Annual Report on Form 10-K for the year ended December 31, 2025, have been so incorporated in reliance on the reports of BPM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supptx110879_15"/>
      <w:bookmarkEnd w:id="18"/>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http://www.sec.gov.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www.pdf.com. The information on our website, however, is not, and should not be deemed to be,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Our third amended and restated certificate of incorporation, as amended, our amended and restated bylaws and other documents establishing the terms of the offered securities are filed as exhibits to the registration statement or documents incorporated by reference in the registration statement. Statements in this prospectus supplement and the accompanying prospectus about these documents are summaries and each statement is qualified in all respects by reference to the document to which it refers. You should refer to the actual documents for a more complete description of the relevant matters.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a previously filed document incorporated by reference will be deemed to be modified or superseded for purposes of this prospectus supplement to the extent that a statement contained in this prospectus supplement or the accompanying prospectus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7">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with the SEC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2025 from our </w:t>
            </w:r>
            <w:hyperlink r:id="rId8">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9">
              <w:r>
                <w:rPr>
                  <w:rStyle w:val="InternetLink"/>
                  <w:rFonts w:ascii="Times New Roman" w:hAnsi="Times New Roman"/>
                  <w:sz w:val="20"/>
                </w:rPr>
                <w:t>Quarterly Report on Form 10-Q</w:t>
              </w:r>
            </w:hyperlink>
            <w:r>
              <w:rPr>
                <w:rFonts w:ascii="Times New Roman" w:hAnsi="Times New Roman"/>
                <w:sz w:val="20"/>
              </w:rPr>
              <w:t xml:space="preserve"> for the quarterly period ended March 31, 2026, filed with the SEC on May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 on Form 8-K filed with the SEC on </w:t>
            </w:r>
            <w:hyperlink r:id="rId10">
              <w:r>
                <w:rPr>
                  <w:rStyle w:val="InternetLink"/>
                  <w:rFonts w:ascii="Times New Roman" w:hAnsi="Times New Roman"/>
                  <w:sz w:val="20"/>
                </w:rPr>
                <w:t>April  24,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fldChar w:fldCharType="begin"/>
            </w:r>
            <w:r>
              <w:rPr>
                <w:rStyle w:val="InternetLink"/>
                <w:sz w:val="20"/>
                <w:rFonts w:ascii="Times New Roman" w:hAnsi="Times New Roman"/>
              </w:rPr>
              <w:instrText xml:space="preserve"> HYPERLINK "http://www.sec.gov/Archives/edgar/data/1120914/000155837022002561/pdfs-20211231xex4d3.htm" \l "Exhibit:http://www.sec.gov/Archives/edgar/data/1120914/000155837022002561/pdfs-20211231xex4d3.htm"</w:instrText>
            </w:r>
            <w:r>
              <w:rPr>
                <w:rStyle w:val="InternetLink"/>
                <w:sz w:val="20"/>
                <w:rFonts w:ascii="Times New Roman" w:hAnsi="Times New Roman"/>
              </w:rPr>
              <w:fldChar w:fldCharType="separate"/>
            </w:r>
            <w:r>
              <w:rPr>
                <w:rStyle w:val="InternetLink"/>
                <w:rFonts w:ascii="Times New Roman" w:hAnsi="Times New Roman"/>
                <w:sz w:val="20"/>
              </w:rPr>
              <w:t>The description of our common stock</w:t>
            </w:r>
            <w:r>
              <w:rPr>
                <w:rStyle w:val="InternetLink"/>
                <w:sz w:val="20"/>
                <w:rFonts w:ascii="Times New Roman" w:hAnsi="Times New Roman"/>
              </w:rPr>
              <w:fldChar w:fldCharType="end"/>
            </w:r>
            <w:r>
              <w:rPr>
                <w:rFonts w:ascii="Times New Roman" w:hAnsi="Times New Roman"/>
                <w:sz w:val="20"/>
              </w:rPr>
              <w:t xml:space="preserve"> contained in our Annual Report on Form 10-K for the year ended December 31, 2021, filed with the SEC on March 1, 2022,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Exchange Act subsequent to the date of this prospectus supplement and prior to the termination of this offering, but excluding any information furnished to, rather than filed with, the SEC, will also be incorporated by reference into this prospectus supplement and deemed to be part of this prospectus supplement and the accompanying prospectus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supplement or the accompanying prospectus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PDF Solutions, Inc. </w:t>
      </w:r>
    </w:p>
    <w:p>
      <w:pPr>
        <w:pStyle w:val="TextBody"/>
        <w:bidi w:val="0"/>
        <w:spacing w:before="0" w:after="0"/>
        <w:jc w:val="center"/>
        <w:rPr>
          <w:rFonts w:ascii="Times New Roman" w:hAnsi="Times New Roman"/>
          <w:sz w:val="20"/>
        </w:rPr>
      </w:pPr>
      <w:r>
        <w:rPr>
          <w:rFonts w:ascii="Times New Roman" w:hAnsi="Times New Roman"/>
          <w:sz w:val="20"/>
        </w:rPr>
        <w:t xml:space="preserve">Attn: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2858 De La Cruz Blvd. </w:t>
      </w:r>
    </w:p>
    <w:p>
      <w:pPr>
        <w:pStyle w:val="TextBody"/>
        <w:bidi w:val="0"/>
        <w:spacing w:before="0" w:after="0"/>
        <w:jc w:val="center"/>
        <w:rPr>
          <w:rFonts w:ascii="Times New Roman" w:hAnsi="Times New Roman"/>
          <w:sz w:val="20"/>
        </w:rPr>
      </w:pPr>
      <w:r>
        <w:rPr>
          <w:rFonts w:ascii="Times New Roman" w:hAnsi="Times New Roman"/>
          <w:sz w:val="20"/>
        </w:rPr>
        <w:t xml:space="preserve">Santa Clara, California 95050 </w:t>
      </w:r>
    </w:p>
    <w:p>
      <w:pPr>
        <w:pStyle w:val="TextBody"/>
        <w:bidi w:val="0"/>
        <w:spacing w:before="0" w:after="0"/>
        <w:jc w:val="center"/>
        <w:rPr>
          <w:rFonts w:ascii="Times New Roman" w:hAnsi="Times New Roman"/>
          <w:sz w:val="20"/>
        </w:rPr>
      </w:pPr>
      <w:r>
        <w:rPr>
          <w:rFonts w:ascii="Times New Roman" w:hAnsi="Times New Roman"/>
          <w:sz w:val="20"/>
        </w:rPr>
        <w:t xml:space="preserve">(408) 280-7900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3657600" cy="5060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3657600" cy="50609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PDF SOLUTIONS,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and the selling securityholders may offer and sell, shares of common stock, in each case from time to time in one or more offerings. This prospectus provides you with a general description of the securities. We will not receive any proceeds from the sale of our common stock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or any of the selling securityholders offer and sell securities, we or such selling securityholders will provide a supplement to this prospectus, to the extent necessary,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In addition, the selling securityholders may offer and sell shares of our common stock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SEE THE “</w:t>
      </w:r>
      <w:hyperlink w:anchor="tx110879_5">
        <w:r>
          <w:rPr>
            <w:rStyle w:val="InternetLink"/>
            <w:rFonts w:ascii="Times New Roman" w:hAnsi="Times New Roman"/>
            <w:b/>
            <w:sz w:val="24"/>
          </w:rPr>
          <w:t>RISK FACTORS</w:t>
        </w:r>
      </w:hyperlink>
      <w:r>
        <w:rPr>
          <w:rFonts w:ascii="Times New Roman" w:hAnsi="Times New Roman"/>
          <w:b/>
          <w:sz w:val="24"/>
        </w:rPr>
        <w:t xml:space="preserve">” ON PAGE 6 OF THIS PROSPECTUS AND ANY SIMILAR SECTION CONTAINED IN THE APPLICABLE PROSPECTUS SUPPLEMENT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“PDFS.” On May 12, 2026, the last reported sale price of our common stock on the Nasdaq Global Select Market was $50.95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The date of this prospectus is May 13, 2026.</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2"/>
      <w:bookmarkEnd w:id="19"/>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110879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2">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3">
              <w:r>
                <w:rPr>
                  <w:rStyle w:val="InternetLink"/>
                  <w:rFonts w:ascii="Times New Roman" w:hAnsi="Times New Roman"/>
                  <w:sz w:val="20"/>
                </w:rPr>
                <w:t>WHERE YOU CAN FIND MORE INFORMATION; 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8">
              <w:r>
                <w:rPr>
                  <w:rStyle w:val="InternetLink"/>
                  <w:rFonts w:ascii="Times New Roman" w:hAnsi="Times New Roman"/>
                  <w:sz w:val="20"/>
                </w:rPr>
                <w:t>SELLING SECURITYHOLDERS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9">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1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11">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10879_1"/>
      <w:bookmarkEnd w:id="20"/>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(the “SEC”) as a “well-known seasoned issuer” as defined in Rule 405 under the Securities Act of 1933, as amended (the “Securities Act”), using a “shelf” registration process. By using a shelf registration statement, we may sell securities from time to time and in one or more offerings and the selling securityholders may sell shares of common stock from time to time and in one or more offerings as described in this prospectus. Each time that we or the selling securityholders offer and sell securities, we or the selling securityholders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“PDF,” “PDF Solutions,” “we,” “our,” “us” and the “Company” in this prospectus, we mean PDF Solutions, Inc. and its consolidated subsidiaries, unless otherwise specified. When we refer to “you,” we mean the potential holders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10879_2"/>
      <w:bookmarkEnd w:id="21"/>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documents incorporated or deemed to be incorporated by reference into this prospectus, contains forward-looking statements within the meaning of Section 27A of the Securities Act, and Section 21E of the Securities Exchange Act of 1934, as amended (the “Exchange Act”). These statements include, but are not limited to, statements related to: our business strategy and objectives; our intellectual property and proprietary software, information and technology; our sales and marketing strategy, expectations regarding strategic alliances and relationships; investments in research and development; industry trends; macroeconomic factors, inventories, and demand; changing export controls and sanctions; U.S. administrative initiatives; investments in semiconductor manufacturing; geopolitical tensions and conflicts; fluctuations in our quarterly results; and other statements identified by words such as “could,” “expects,” “intends,” “may,” “plans,” “potential,” “should,” “will,” “would,” or similar expressions and the negatives of those terms.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in this prospectus are based on management’s current beliefs and assumptions and are not guarantees of future performance. The forward-looking statements are subject to various risks, uncertainties, assumptions or changes in circumstances that are difficult to predict or quantify. Actual results may differ materially from these expectations due to numerous factors, many of which are beyond our control, including the risks detailed under “Risk Factors” in our Annual Report on Form 10-K for the year ended December 31, 2025, and as such risk factors may be updated from time to time in our periodic filings with the SEC, which filings are incorporated or deemed to be incorporated by reference into this prospectus and are accessible on the SEC’s website at www.sec.gov. Since it is not possible to foresee all such factors, these factors should not be considered as complete or exhaustive. Consequently, we caution investors not to place undue reliance on any forward-looking statements, as no forward-looking statement can be guaranteed, and actual results may vary materially.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made by us in this prospectus speak only as of the date of this prospectus and are expressly qualified in their entirety by the cautionary statements included in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Except as required by law, we do not have any obligation to update or revise, or to publicly announce any update or revision to, any of the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10879_3"/>
      <w:bookmarkEnd w:id="22"/>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http://www.sec.gov.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www.pdf.com. The information on our website,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2">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13">
              <w:r>
                <w:rPr>
                  <w:rStyle w:val="InternetLink"/>
                  <w:rFonts w:ascii="Times New Roman" w:hAnsi="Times New Roman"/>
                  <w:sz w:val="20"/>
                </w:rPr>
                <w:t>Form 10-K</w:t>
              </w:r>
            </w:hyperlink>
            <w:r>
              <w:rPr>
                <w:rFonts w:ascii="Times New Roman" w:hAnsi="Times New Roman"/>
                <w:sz w:val="20"/>
              </w:rPr>
              <w:t xml:space="preserve"> for the year ended December  31, 2025 from our Definitive Proxy Statement on </w:t>
            </w:r>
            <w:hyperlink r:id="rId14">
              <w:r>
                <w:rPr>
                  <w:rStyle w:val="InternetLink"/>
                  <w:rFonts w:ascii="Times New Roman" w:hAnsi="Times New Roman"/>
                  <w:sz w:val="20"/>
                </w:rPr>
                <w:t>Schedule 14A</w:t>
              </w:r>
            </w:hyperlink>
            <w:r>
              <w:rPr>
                <w:rFonts w:ascii="Times New Roman" w:hAnsi="Times New Roman"/>
                <w:sz w:val="20"/>
              </w:rPr>
              <w:t xml:space="preserve">, filed with the SEC on April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5">
              <w:r>
                <w:rPr>
                  <w:rStyle w:val="InternetLink"/>
                  <w:rFonts w:ascii="Times New Roman" w:hAnsi="Times New Roman"/>
                  <w:sz w:val="20"/>
                </w:rPr>
                <w:t>Form 10-Q</w:t>
              </w:r>
            </w:hyperlink>
            <w:r>
              <w:rPr>
                <w:rFonts w:ascii="Times New Roman" w:hAnsi="Times New Roman"/>
                <w:sz w:val="20"/>
              </w:rPr>
              <w:t xml:space="preserve"> for the quarterly period ended March 31, 2026, filed with the SEC on May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 on </w:t>
            </w:r>
            <w:hyperlink r:id="rId16">
              <w:r>
                <w:rPr>
                  <w:rStyle w:val="InternetLink"/>
                  <w:rFonts w:ascii="Times New Roman" w:hAnsi="Times New Roman"/>
                  <w:sz w:val="20"/>
                </w:rPr>
                <w:t>Form 8-K</w:t>
              </w:r>
            </w:hyperlink>
            <w:r>
              <w:rPr>
                <w:rFonts w:ascii="Times New Roman" w:hAnsi="Times New Roman"/>
                <w:sz w:val="20"/>
              </w:rPr>
              <w:t xml:space="preserve"> filed with the SEC on April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17">
              <w:r>
                <w:rPr>
                  <w:rStyle w:val="InternetLink"/>
                  <w:rFonts w:ascii="Times New Roman" w:hAnsi="Times New Roman"/>
                  <w:sz w:val="20"/>
                </w:rPr>
                <w:t>Exhibit 4.03</w:t>
              </w:r>
            </w:hyperlink>
            <w:r>
              <w:rPr>
                <w:rFonts w:ascii="Times New Roman" w:hAnsi="Times New Roman"/>
                <w:sz w:val="20"/>
              </w:rPr>
              <w:t xml:space="preserve"> to our Annual Report on Form 10-K for the year ended December 31, 2021, filed with the SEC on March 1, 2022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by writing or telephoning us at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PDF Solutions,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Secretary </w:t>
      </w:r>
    </w:p>
    <w:p>
      <w:pPr>
        <w:pStyle w:val="TextBody"/>
        <w:bidi w:val="0"/>
        <w:spacing w:before="0" w:after="0"/>
        <w:jc w:val="center"/>
        <w:rPr>
          <w:rFonts w:ascii="Times New Roman" w:hAnsi="Times New Roman"/>
          <w:sz w:val="20"/>
        </w:rPr>
      </w:pPr>
      <w:r>
        <w:rPr>
          <w:rFonts w:ascii="Times New Roman" w:hAnsi="Times New Roman"/>
          <w:sz w:val="20"/>
        </w:rPr>
        <w:t xml:space="preserve">2858 De La Cruz Boulevard </w:t>
      </w:r>
    </w:p>
    <w:p>
      <w:pPr>
        <w:pStyle w:val="TextBody"/>
        <w:bidi w:val="0"/>
        <w:spacing w:before="0" w:after="0"/>
        <w:jc w:val="center"/>
        <w:rPr>
          <w:rFonts w:ascii="Times New Roman" w:hAnsi="Times New Roman"/>
          <w:sz w:val="20"/>
        </w:rPr>
      </w:pPr>
      <w:r>
        <w:rPr>
          <w:rFonts w:ascii="Times New Roman" w:hAnsi="Times New Roman"/>
          <w:sz w:val="20"/>
        </w:rPr>
        <w:t xml:space="preserve">Santa Clara, California 95050 </w:t>
      </w:r>
    </w:p>
    <w:p>
      <w:pPr>
        <w:pStyle w:val="TextBody"/>
        <w:bidi w:val="0"/>
        <w:spacing w:before="0" w:after="0"/>
        <w:jc w:val="center"/>
        <w:rPr>
          <w:rFonts w:ascii="Times New Roman" w:hAnsi="Times New Roman"/>
          <w:sz w:val="20"/>
        </w:rPr>
      </w:pPr>
      <w:r>
        <w:rPr>
          <w:rFonts w:ascii="Times New Roman" w:hAnsi="Times New Roman"/>
          <w:sz w:val="20"/>
        </w:rPr>
        <w:t xml:space="preserve">(408) 280-7900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10879_4"/>
      <w:bookmarkEnd w:id="23"/>
      <w:r>
        <w:rPr>
          <w:rFonts w:ascii="Times New Roman" w:hAnsi="Times New Roman"/>
          <w:b/>
          <w:sz w:val="20"/>
        </w:rPr>
        <w:t xml:space="preserve">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provide comprehensive data solutions designed to empower organizations across the semiconductor and electronics ecosystems to improve the yield and quality of their products and operational efficiency for increased profitability. We derive revenues from two categories, Platform and Volume-based fees. Our offerings that contribute to Platform revenue are licenses for software (other than Cimetrix runtime licenses) and related software maintenance and technical support services; software-as-a-service; engineering services; fixed fees associated with Characterization Vehicle systems; and licenses and purchase contracts for DirectScan systems. Volume-based revenue is derived from Cimetrix runtime licenses, secureWISE data, and variable/royalty fees associated with CV systems (sometimes referred to as Gainshare). Our products and services have been sold to integrated device manufacturers, fabless semiconductor companies, foundries, out-sourced semiconductor assembly and test, capital equipment manufacturers, and system houses.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currently in effect is our Third Amended and Restated Certificate of Incorporation, filed with the Secretary of State of the State of Delaware on August 1, 2001, as amended by the Certificate of Amendment thereto filed with the Secretary of State of the State of Delaware on June 20, 2024. Our principal executive offices are located at 2858 De La Cruz Boulevard, Santa Clara, California 95050, and our telephone number at that location is (408) 280-7900. Our website address is www.pdf.com. The information contained on, or that can be accessed through, our website is not incorporated by reference into, and is not part of, this prospectus or the registration statement of which it forms a part, and you should not consider any such information in deciding whether to purchase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10879_5"/>
      <w:bookmarkEnd w:id="2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operational,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seriously harmed. This could cause the trading price of our common stock to decline, resulting in a loss of all or part of your investment. Please also carefully read the section entitled “Special Note Regarding Forward Looking Statements” included in our most recent Annual Report on Form 10-K and any subsequent Quarterly Reports on Form 10-Q or Current Reports on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10879_6"/>
      <w:bookmarkEnd w:id="2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We will not receive any of the proceeds from the sale of common stock being offered by any of the selling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10879_7"/>
      <w:bookmarkEnd w:id="26"/>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is not complete and may not contain all the information you should consider before investing in our capital stock. This description is summarized from, and qualified in its entirety by reference to, our amended and restated certificate of incorporation and our amended and restated bylaws, each of which has been publicly filed with the SEC. See “Where You Can Find More Information; Incorporation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75,000,000 shares, each with a par value of $0.00015 per share, of which 70,000,000 shares are designated as common stock and 5,000,000 shares are designated as preferred stock. Our shares of capital stock are represented by certificates, unless our board of directors provides by resolution that some or all of any class or series of our stock will be uncertificated. We urge you to read our amended and restated certificate of incorporation and our amended and restated bylaws.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and do not have cumulative voting rights. An election of directors by our stockholders shall be determined by the vote of the majority of the votes cast with respect to that director’s election; </w:t>
      </w:r>
      <w:r>
        <w:rPr>
          <w:rFonts w:ascii="Times New Roman" w:hAnsi="Times New Roman"/>
          <w:i/>
          <w:sz w:val="20"/>
        </w:rPr>
        <w:t>provided</w:t>
      </w:r>
      <w:r>
        <w:rPr>
          <w:rFonts w:ascii="Times New Roman" w:hAnsi="Times New Roman"/>
          <w:sz w:val="20"/>
        </w:rPr>
        <w:t xml:space="preserve">, that if, as of the 10th day preceding the date on which the Company first mails its notice of meeting for such meeting to stockholders, the Company has received a stockholder’s notice of nominations of persons for election to the board of directors at such meeting, the directors shall be elected by the vote of a plurality of the votes cast at such meeting. Holders of common stock are entitled to receive proportionately any dividends as may be declared by our board of directors, subject to any preferential dividend rights of any series of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the holders of common stock are entitled to receive proportionately our net assets available for distribution to stockholders after the payment in full of all debts and other liabilities and subject to the prior rights of any outstanding preferred stock. Holders of common stock have no preemptive, subscription, redemption or conversion rights. There are no sinking fund provisions applicable to our common stock.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amended and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but unissued shares of our common stock and our preferred stock are available for future issuance without stockholder approval, subject to any limitations imposed by the listing standards of The Nasdaq Stock Market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Anti-Takeover Effects of Provisions of Our Amended and Restated Certificate of Incorporation, Our Amended and Restated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Provisions in our amended and restated certificate of incorporation and our amended and restated bylaws, as well as provisions of the Delaware General Corporation Law (the “DGCL”), could make it more difficult for a third party to acquire us or increase the cost of acquiring us, even if doing so would benefit our stockholders, including transactions in which stockholders might otherwise receive a premium for their shares. </w:t>
      </w:r>
    </w:p>
    <w:p>
      <w:pPr>
        <w:pStyle w:val="TextBody"/>
        <w:bidi w:val="0"/>
        <w:spacing w:before="360" w:after="0"/>
        <w:jc w:val="left"/>
        <w:rPr>
          <w:rFonts w:ascii="Times New Roman" w:hAnsi="Times New Roman"/>
          <w:b/>
          <w:sz w:val="20"/>
        </w:rPr>
      </w:pPr>
      <w:r>
        <w:rPr>
          <w:rFonts w:ascii="Times New Roman" w:hAnsi="Times New Roman"/>
          <w:b/>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the board of directors is divided into three classes, designated Class I, Class II and Class III, as nearly equal in number as reasonably possible, with each class serving a three-year staggered term. As a result, approximately one-third of our directors are elected each year. Each director shall serve until his or her successor is duly elected and qualified or until his or her death, resignation or removal. Any director, or the entire board of directors, may be removed from office, with or without cause, by the holders of a majority of the voting power of the then-outstanding shares of our voting stock entitled to vote generally in the election of directors, voting together as a single class. Any vacancies on the board of directors resulting from death, resignation, disqualification, removal or other causes may be filled by either (i) the affirmative vote of the holders of a majority of the voting power of the then-outstanding shares of voting stock, voting together as a single class, or (ii) the affirmative vote of a majority of the remaining directors then in office, even though less than a quorum of the board of directors. Subject to the rights of any series of preferred stock then outstanding, newly created directorships resulting from any increase in the number of directors shall, unless the board of directors determines that any such newly created directorship shall be filled by the stockholders, be filled only by the affirmative vote of the directors then in office, even though less than a quorum, or by a sole remaining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a special meeting of the stockholders may be called at any time by the board of directors, by the chairperson of the board, or by the president. Our amended and restated bylaws require that the notice for a special meeting specify the purpose or purposes for which the meeting is called, and business at any special meeting is limited to the purpose or purposes stated in the notice.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provides that no action shall be taken by the stockholders other than at an annual or special meeting of the stockholders, upon due notice and in accordance with the provisions of our bylaws, and no action shall be taken by the stockholders by written consent. Accordingly, stockholder action by written consent is prohibited.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Advance Notification of Stockholder Meetings,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require that any stockholder who wishes to bring business before an annual meeting or nominate directors must comply with the advance notice requirements set forth therein. In addition, our amended and restated bylaws contain a proxy access provision that, subject to specified eligibility, ownership, procedural and disclosure requirements, permits an eligible stockholder, or a group of up to 20 eligible stockholders, that has owned at least 5% of our outstanding common stock continuously for at least three years to include in our proxy materials for an annual meeting of stockholders director nominees constituting up to the greater of two or 20% of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Approval for Amendment of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DGCL provides generally that the affirmative vote of holders of a majority in voting power of outstanding shares entitled to vote on the matter is required to amend a corporation’s certificate of incorporation, unless a corporation’s certificate of incorporation requires a greater percentage. Our amended and restated certificate of incorporation provides that the affirmative vote of holders of at least 66 2/3% of the voting power of all of the then-outstanding shares of our voting stock entitled to vote is required to amend or adopt our bylaws by stockholder action. The board of directors is also expressly authorized to adopt, amend or repeal our bylaws. Our amended and restated certificate of incorporation reserves the right to amend, alter, change or repeal any provision contained therein, in the manner now or hereafter prescribed by statute, and all rights conferred upon stockholders therein are granted subject to this reservation.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which generally prohibits a Delaware corporation from engaging in any business combination (as defined in Section 203) with any interested stockholder (as defined in Section 203) for a period of three years following the time that such stockholder became an interested stockholder, unless (i) prior to such time, the board of directors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our voting stock outstanding at the time the transaction commenced (excluding specified shares) or (iii) at or subsequent to such time, the business combination is approved by the board of directors and authorized at an annual or special meeting of stockholders, and not by written consent, by the affirmative vote of at least 66 2/3% of our outstanding voting stock that is not owned by the interested stockholder.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Venue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unless we consent in writing to the selection of an alternative forum, the Court of Chancery in the State of Delaware shall be the sole and exclusive forum for (i) any derivative action or proceeding brought on our behalf, (ii) any action asserting a claim of breach of a fiduciary duty owed by any current or former director, officer, stockholder, employee or agent of the Company to us or our stockholders, including a claim alleging the aiding and abetting of such a breach of fiduciary duty, (iii) any action asserting a claim against us or any current or former director, officer, stockholder, employee or agent of the Company arising out of or relating to any provision of the DGCL, our amended and restated certificate of incorporation or our amended and restated bylaws, (iv) any action asserting a claim related to or involving the Company or any director, officer, stockholder, employee or agent of the Company that is governed by the internal affairs doctrine of the State of Delaware, or (v) any action asserting an “internal corporate claim” as that term is defined in Section 115 of the DGCL; provided, however, that, in the event that the Court of Chancery lacks subject matter jurisdiction over any such action or proceeding, the sole and exclusive forum for such action or proceeding shall be another state or federal court located within the State of Delaware. The Delaware exclusive forum provision described above does not apply to any suits brought to enforce any liability or duty created by the Exchange Act, the Securities Act or any other claim for which the federal courts of the United States have exclusive jurisdiction. Any person or entity purchasing or otherwise acquiring any interest in our shares of capital stock will be deemed to have notice of and consented to the foregoing forum selection provisions. Although our amended and restated bylaws contain the exclusive forum provisions described above, it is possible that a court could find that such provisions are inapplicable for a particular claim or action or that such provisions are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to the fullest extent permitted by the DGCL, as the same may be amended from time to time, no director or officer of the Company shall be personally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liable to us or our stockholders for monetary damages for breach of fiduciary duty as a director or officer. If the DGCL is hereafter amended to authorize corporate action further limiting or eliminating the personal liability of directors or officers, then the liability of our directors and officers will be limited or eliminated to the fullest extent permitted by the DGCL, as so amended. Our amended and restated certificate of incorporation also authorizes us, to the fullest extent permitted by applicable law, to provide indemnification of (and advancement of expenses to) our agents and other persons through bylaw provisions, agreements with such persons, vote of stockholders or disinterested directors or otherwise, in excess of the indemnification and advancement otherwise permitted by Section 145 of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360" w:after="0"/>
        <w:jc w:val="left"/>
        <w:rPr>
          <w:rFonts w:ascii="Times New Roman" w:hAnsi="Times New Roman"/>
          <w:b/>
          <w:sz w:val="20"/>
        </w:rPr>
      </w:pPr>
      <w:r>
        <w:rPr>
          <w:rFonts w:ascii="Times New Roman" w:hAnsi="Times New Roman"/>
          <w:b/>
          <w:sz w:val="20"/>
        </w:rPr>
        <w:t xml:space="preserve">Stock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“PDFS.”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10879_8"/>
      <w:bookmarkEnd w:id="27"/>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securityholders, where applicable, will be set forth in a prospectus supplement, in a post-effective amendment or in filings we make with the SEC under the Exchange Act that are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10879_9"/>
      <w:bookmarkEnd w:id="28"/>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or any of the selling securityholders may sell the offered securities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compensation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10879_10"/>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will pass upon certain legal matters relating to the issuance and sale of the securities offered hereby on behalf of PDF Solutions, Inc. Additional legal matters may be passed upon for us, the selling securityholders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30" w:name="tx110879_11"/>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PDF Solutions, Inc. as of December 31, 2025 and 2024 and for each of the three years in the period ended December 31, 2025, and management’s assessment of the effectiveness of internal control over financial reporting (which is included in Management’s Report on Internal Control over Financial Reporting) as of December 31, 2025, incorporated in this Registration Statement on Form S-3 by reference to the Annual Report on Form 10-K for the year ended December 31, 2025, have been so incorporated in reliance on the reports of BPM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720" w:after="0"/>
        <w:jc w:val="center"/>
        <w:rPr>
          <w:rFonts w:ascii="Times New Roman" w:hAnsi="Times New Roman"/>
          <w:b/>
          <w:i/>
          <w:sz w:val="32"/>
        </w:rPr>
      </w:pPr>
      <w:r>
        <w:rPr>
          <w:rFonts w:ascii="Times New Roman" w:hAnsi="Times New Roman"/>
          <w:b/>
          <w:i/>
          <w:sz w:val="32"/>
        </w:rPr>
        <w:t xml:space="preserve">3,806,924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2692400" cy="3486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2692400" cy="34861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i/>
          <w:sz w:val="28"/>
        </w:rPr>
      </w:pPr>
      <w:r>
        <w:rPr>
          <w:rFonts w:ascii="Times New Roman" w:hAnsi="Times New Roman"/>
          <w:b/>
          <w:i/>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i/>
              </w:rPr>
            </w:pPr>
            <w:r>
              <w:rPr>
                <w:b/>
                <w:i/>
              </w:rPr>
              <w:t>Morgan Stanley</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i/>
              </w:rPr>
            </w:pPr>
            <w:r>
              <w:rPr>
                <w:b/>
                <w:i/>
              </w:rPr>
              <w:t>Wells Fargo Securities</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i/>
              </w:rPr>
            </w:pPr>
            <w:r>
              <w:rPr>
                <w:b/>
                <w:i/>
              </w:rPr>
              <w:t>Societe Generale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i/>
              </w:rPr>
            </w:pPr>
            <w:r>
              <w:rPr>
                <w:b/>
                <w:i/>
              </w:rPr>
              <w:t>Needham &amp; Company</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i/>
          <w:sz w:val="20"/>
        </w:rPr>
      </w:pPr>
      <w:r>
        <w:rPr>
          <w:rFonts w:ascii="Times New Roman" w:hAnsi="Times New Roman"/>
          <w:b/>
          <w:i/>
          <w:sz w:val="20"/>
        </w:rPr>
        <w:t xml:space="preserve">May  ,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120914/000143774926005366/pdfs20251231d_10k.htm" TargetMode="External"/><Relationship Id="rId4" Type="http://schemas.openxmlformats.org/officeDocument/2006/relationships/hyperlink" Target="http://www.sec.gov/Archives/edgar/data/../../../ix?doc=/Archives/edgar/data/1120914/000143774926005366/pdfs20251231d_10k.htm" TargetMode="External"/><Relationship Id="rId5" Type="http://schemas.openxmlformats.org/officeDocument/2006/relationships/hyperlink" Target="http://www.sec.gov/Archives/edgar/data/../../../ix?doc=/Archives/edgar/data/1120914/000143774926005366/pdfs20251231d_10k.htm" TargetMode="External"/><Relationship Id="rId6" Type="http://schemas.openxmlformats.org/officeDocument/2006/relationships/hyperlink" Target="http://www.sec.gov/Archives/edgar/data/../../../ix?doc=/Archives/edgar/data/1120914/000143774926015610/pdfs20260331_10q.htm" TargetMode="External"/><Relationship Id="rId7" Type="http://schemas.openxmlformats.org/officeDocument/2006/relationships/hyperlink" Target="http://www.sec.gov/Archives/edgar/data/../../../ix?doc=/Archives/edgar/data/1120914/000143774926005366/pdfs20251231d_10k.htm" TargetMode="External"/><Relationship Id="rId8" Type="http://schemas.openxmlformats.org/officeDocument/2006/relationships/hyperlink" Target="http://www.sec.gov/Archives/edgar/data/../../../ix?doc=/Archives/edgar/data/1120914/000143774926013857/pdfs20260410_def14a.htm" TargetMode="External"/><Relationship Id="rId9" Type="http://schemas.openxmlformats.org/officeDocument/2006/relationships/hyperlink" Target="http://www.sec.gov/Archives/edgar/data/../../../ix?doc=/Archives/edgar/data/1120914/000143774926015610/pdfs20260331_10q.htm" TargetMode="External"/><Relationship Id="rId10" Type="http://schemas.openxmlformats.org/officeDocument/2006/relationships/hyperlink" Target="http://www.sec.gov/Archives/edgar/data/../../../ix?doc=/Archives/edgar/data/1120914/000143774926013337/pdfs20260423_8k.htm" TargetMode="External"/><Relationship Id="rId11" Type="http://schemas.openxmlformats.org/officeDocument/2006/relationships/image" Target="media/image2.jpeg"/><Relationship Id="rId12" Type="http://schemas.openxmlformats.org/officeDocument/2006/relationships/hyperlink" Target="http://www.sec.gov/Archives/edgar/data/../../../ix?doc=/Archives/edgar/data/1120914/000143774926005366/pdfs20251231d_10k.htm" TargetMode="External"/><Relationship Id="rId13" Type="http://schemas.openxmlformats.org/officeDocument/2006/relationships/hyperlink" Target="http://www.sec.gov/Archives/edgar/data/../../../ix?doc=/Archives/edgar/data/1120914/000143774926005366/pdfs20251231d_10k.htm" TargetMode="External"/><Relationship Id="rId14" Type="http://schemas.openxmlformats.org/officeDocument/2006/relationships/hyperlink" Target="http://www.sec.gov/Archives/edgar/data/../../../ix?doc=/Archives/edgar/data/1120914/000143774926013857/pdfs20260410_def14a.htm" TargetMode="External"/><Relationship Id="rId15" Type="http://schemas.openxmlformats.org/officeDocument/2006/relationships/hyperlink" Target="http://www.sec.gov/Archives/edgar/data/../../../ix?doc=/Archives/edgar/data/1120914/000143774926015610/pdfs20260331_10q.htm" TargetMode="External"/><Relationship Id="rId16" Type="http://schemas.openxmlformats.org/officeDocument/2006/relationships/hyperlink" Target="http://www.sec.gov/Archives/edgar/data/../../../ix?doc=/Archives/edgar/data/1120914/000143774926013337/pdfs20260423_8k.htm" TargetMode="External"/><Relationship Id="rId17" Type="http://schemas.openxmlformats.org/officeDocument/2006/relationships/hyperlink" Target="http://www.sec.gov/Archives/edgar/data/1120914/000155837022002561/pdfs-20211231xex4d3.htm" TargetMode="External"/><Relationship Id="rId18" Type="http://schemas.openxmlformats.org/officeDocument/2006/relationships/image" Target="media/image3.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Pages>
  <Words>26117</Words>
  <Characters>139781</Characters>
  <CharactersWithSpaces>168828</CharactersWithSpaces>
  <Paragraphs>6000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