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b/>
          <w:caps w:val="false"/>
          <w:smallCaps w:val="false"/>
          <w:sz w:val="20"/>
        </w:rPr>
      </w:pPr>
      <w:bookmarkStart w:id="0" w:name="pdfs20260720_s8.htm"/>
      <w:bookmarkStart w:id="1" w:name="kspdfs20260720_s8"/>
      <w:bookmarkEnd w:id="0"/>
      <w:bookmarkEnd w:id="1"/>
      <w:r>
        <w:rPr>
          <w:rFonts w:ascii="Times New Roman" w:hAnsi="Times New Roman"/>
          <w:b/>
          <w:caps w:val="false"/>
          <w:smallCaps w:val="false"/>
          <w:sz w:val="20"/>
        </w:rPr>
        <w:t>As filed with the Securities and Exchange Commission on 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Registration No.</w:t>
      </w:r>
      <w:r>
        <w:rPr>
          <w:rFonts w:ascii="Times New Roman" w:hAnsi="Times New Roman"/>
          <w:caps w:val="false"/>
          <w:smallCaps w:val="false"/>
          <w:sz w:val="20"/>
        </w:rPr>
        <w:t> </w:t>
      </w:r>
      <w:r>
        <w:rPr>
          <w:rFonts w:ascii="Times New Roman" w:hAnsi="Times New Roman"/>
          <w:b/>
          <w:caps w:val="false"/>
          <w:smallCaps w:val="false"/>
          <w:sz w:val="20"/>
        </w:rPr>
        <w:t>333</w:t>
      </w:r>
      <w:r>
        <w:rPr>
          <w:rFonts w:ascii="Times New Roman" w:hAnsi="Times New Roman"/>
          <w:caps w:val="false"/>
          <w:smallCaps w:val="false"/>
          <w:sz w:val="20"/>
        </w:rPr>
        <w:noBreakHyphen/>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w:t>
      </w:r>
      <w:r>
        <w:rPr>
          <w:rFonts w:ascii="Times New Roman" w:hAnsi="Times New Roman"/>
          <w:caps w:val="false"/>
          <w:smallCaps w:val="false"/>
          <w:sz w:val="24"/>
        </w:rPr>
        <w:t> </w:t>
      </w:r>
      <w:r>
        <w:rPr>
          <w:rFonts w:ascii="Times New Roman" w:hAnsi="Times New Roman"/>
          <w:b/>
          <w:caps w:val="false"/>
          <w:smallCaps w:val="false"/>
          <w:sz w:val="24"/>
        </w:rPr>
        <w:t>S</w:t>
      </w:r>
      <w:r>
        <w:rPr>
          <w:rFonts w:ascii="Times New Roman" w:hAnsi="Times New Roman"/>
          <w:caps w:val="false"/>
          <w:smallCaps w:val="false"/>
          <w:sz w:val="24"/>
        </w:rPr>
        <w:noBreakHyphen/>
      </w:r>
      <w:r>
        <w:rPr>
          <w:rFonts w:ascii="Times New Roman" w:hAnsi="Times New Roman"/>
          <w:b/>
          <w:caps w:val="false"/>
          <w:smallCaps w:val="false"/>
          <w:sz w:val="24"/>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REGISTRATION STATEMENT 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PDF SOLUTIONS,</w:t>
      </w:r>
      <w:r>
        <w:rPr>
          <w:rFonts w:ascii="Times New Roman" w:hAnsi="Times New Roman"/>
          <w:caps w:val="false"/>
          <w:smallCaps w:val="false"/>
          <w:sz w:val="24"/>
        </w:rPr>
        <w:t> </w:t>
      </w:r>
      <w:r>
        <w:rPr>
          <w:rFonts w:ascii="Times New Roman" w:hAnsi="Times New Roman"/>
          <w:b/>
          <w:caps w:val="false"/>
          <w:smallCaps w:val="false"/>
          <w:sz w:val="24"/>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2510"/>
        <w:gridCol w:w="1880"/>
      </w:tblGrid>
      <w:tr>
        <w:trPr/>
        <w:tc>
          <w:tcPr>
            <w:tcW w:w="25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8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25</w:t>
            </w:r>
            <w:r>
              <w:rPr>
                <w:rFonts w:ascii="Times New Roman" w:hAnsi="Times New Roman"/>
                <w:caps w:val="false"/>
                <w:smallCaps w:val="false"/>
                <w:sz w:val="20"/>
              </w:rPr>
              <w:noBreakHyphen/>
            </w:r>
            <w:r>
              <w:rPr>
                <w:rFonts w:ascii="Times New Roman" w:hAnsi="Times New Roman"/>
                <w:b/>
                <w:caps w:val="false"/>
                <w:smallCaps w:val="false"/>
                <w:sz w:val="20"/>
              </w:rPr>
              <w:t>1701361</w:t>
            </w:r>
          </w:p>
        </w:tc>
      </w:tr>
      <w:tr>
        <w:trPr/>
        <w:tc>
          <w:tcPr>
            <w:tcW w:w="25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tc>
        <w:tc>
          <w:tcPr>
            <w:tcW w:w="18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5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18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2858 De La Cruz Boulevard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Santa Clara, California 95050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ELEVENTH AMENDED AND RESTATED 2011 STOCK INCENTIVE PLAN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THIRD AMENDED AND RESTATED 2021 EMPLOYEE STOCK PURCHASE PLAN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(Full Title of the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JOHN K. KIBARIAN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President and Chief Executive Officer</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PDF Solutions,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2858 De La Cruz Boulevard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Santa Clara, California 95050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Copy to</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Kathleen M. Wells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John C. Williams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Latham</w:t>
      </w:r>
      <w:r>
        <w:rPr>
          <w:rFonts w:ascii="Times New Roman" w:hAnsi="Times New Roman"/>
          <w:caps w:val="false"/>
          <w:smallCaps w:val="false"/>
          <w:sz w:val="20"/>
        </w:rPr>
        <w:t> </w:t>
      </w:r>
      <w:r>
        <w:rPr>
          <w:rFonts w:ascii="Times New Roman" w:hAnsi="Times New Roman"/>
          <w:b/>
          <w:caps w:val="false"/>
          <w:smallCaps w:val="false"/>
          <w:sz w:val="20"/>
        </w:rPr>
        <w:t>&amp; Watkins LLP</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801 Jefferson Avenue, Suite 300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Redwood City, California 94063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(650)</w:t>
      </w:r>
      <w:r>
        <w:rPr>
          <w:rFonts w:ascii="Times New Roman" w:hAnsi="Times New Roman"/>
          <w:caps w:val="false"/>
          <w:smallCaps w:val="false"/>
          <w:sz w:val="20"/>
        </w:rPr>
        <w:t> </w:t>
      </w:r>
      <w:r>
        <w:rPr>
          <w:rFonts w:ascii="Times New Roman" w:hAnsi="Times New Roman"/>
          <w:b/>
          <w:caps w:val="false"/>
          <w:smallCaps w:val="false"/>
          <w:sz w:val="20"/>
        </w:rPr>
        <w:t>328-4600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noBreakHyphen/>
        <w:t>2 of the Exchange Act.</w:t>
      </w:r>
    </w:p>
    <w:p>
      <w:pPr>
        <w:pStyle w:val="TextBody"/>
        <w:bidi w:val="0"/>
        <w:spacing w:before="0" w:after="0"/>
        <w:ind w:left="0" w:right="0" w:hanging="0"/>
        <w:jc w:val="left"/>
        <w:rPr>
          <w:caps w:val="false"/>
          <w:smallCaps w:val="false"/>
        </w:rPr>
      </w:pPr>
      <w:r>
        <w:rPr>
          <w:caps w:val="false"/>
          <w:smallCaps w:val="false"/>
        </w:rPr>
        <w:t> </w:t>
      </w:r>
    </w:p>
    <w:tbl>
      <w:tblPr>
        <w:tblW w:w="4910" w:type="dxa"/>
        <w:jc w:val="left"/>
        <w:tblInd w:w="0" w:type="dxa"/>
        <w:tblLayout w:type="fixed"/>
        <w:tblCellMar>
          <w:top w:w="0" w:type="dxa"/>
          <w:left w:w="0" w:type="dxa"/>
          <w:bottom w:w="0" w:type="dxa"/>
          <w:right w:w="0" w:type="dxa"/>
        </w:tblCellMar>
      </w:tblPr>
      <w:tblGrid>
        <w:gridCol w:w="2225"/>
        <w:gridCol w:w="230"/>
        <w:gridCol w:w="2225"/>
        <w:gridCol w:w="230"/>
      </w:tblGrid>
      <w:tr>
        <w:trPr/>
        <w:tc>
          <w:tcPr>
            <w:tcW w:w="222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22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22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1. </w:t>
      </w:r>
      <w:r>
        <w:rPr>
          <w:rFonts w:ascii="Times New Roman" w:hAnsi="Times New Roman"/>
          <w:b/>
          <w:caps w:val="false"/>
          <w:smallCaps w:val="false"/>
          <w:sz w:val="20"/>
          <w:u w:val="single"/>
        </w:rPr>
        <w:t>Plan Information</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documents containing the information specified in this Item 1 will be sent or given to participants as specified by Rule 428(b)(1) under the Securities Act of 1933, as amended (the “Securities Act”). In accordance with the rules and regulations of the U.S. Securities and Exchange Commission (the “SEC”) and the instructions to Form S-8, such documents are not being filed with the SEC either as part of this Registration Statement or as prospectuses or prospectus supplements pursuant to Rule 424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Item 2. </w:t>
      </w:r>
      <w:r>
        <w:rPr>
          <w:rFonts w:ascii="Times New Roman" w:hAnsi="Times New Roman"/>
          <w:b/>
          <w:caps w:val="false"/>
          <w:smallCaps w:val="false"/>
          <w:sz w:val="20"/>
          <w:u w:val="single"/>
        </w:rPr>
        <w:t>Registrant Information and Employee Plan Annual Information</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documents containing the information specified in this Item 2 will be sent or given to participants as specified by Rule 428(b)(1) under the Securities Act. In accordance with the rules and regulations of the SEC and the instructions to Form S-8, such documents are not being filed with the SEC either as part of this Registration Statement or as prospectuses or prospectus supplements pursuant to Rule 424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PDF Solutions, Inc. (the “Registrant”) hereby incorporates by reference into this Registration Statement the following documents previously filed with the SEC: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0"/>
        <w:gridCol w:w="9955"/>
      </w:tblGrid>
      <w:tr>
        <w:trPr/>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5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The Registrant’s Annual Report on </w:t>
            </w:r>
            <w:hyperlink r:id="rId2">
              <w:r>
                <w:rPr>
                  <w:rStyle w:val="InternetLink"/>
                  <w:rFonts w:ascii="Times New Roman" w:hAnsi="Times New Roman"/>
                  <w:caps w:val="false"/>
                  <w:smallCaps w:val="false"/>
                  <w:sz w:val="20"/>
                </w:rPr>
                <w:t>Form 10</w:t>
                <w:noBreakHyphen/>
                <w:t>K for the fiscal year ended December 31, 2025, filed with the SEC on February 24, 2026 (File No. 000</w:t>
                <w:noBreakHyphen/>
                <w:t> 31311)</w:t>
              </w:r>
            </w:hyperlink>
            <w:r>
              <w:rPr>
                <w:rFonts w:ascii="Times New Roman" w:hAnsi="Times New Roman"/>
                <w:caps w:val="false"/>
                <w:smallCaps w:val="false"/>
                <w:sz w:val="20"/>
              </w:rPr>
              <w:t xml:space="preserve">, including the information specifically incorporated by reference therein from the </w:t>
            </w:r>
            <w:hyperlink r:id="rId3">
              <w:r>
                <w:rPr>
                  <w:rStyle w:val="InternetLink"/>
                  <w:rFonts w:ascii="Times New Roman" w:hAnsi="Times New Roman"/>
                  <w:caps w:val="false"/>
                  <w:smallCaps w:val="false"/>
                  <w:sz w:val="20"/>
                </w:rPr>
                <w:t>Registrant’s Definitive Proxy Statement on Schedule 14A filed with the SEC on April 29, 2026</w:t>
              </w:r>
            </w:hyperlink>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5"/>
        <w:gridCol w:w="993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other reports filed pursuant to Section 13(a) or 15(d) of the Securities Exchange Act of 1934, as amended (the “Exchange Act”), since the end of the fiscal year covered by the Registrant’s documents referred to in (a) above;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3"/>
        <w:gridCol w:w="9962"/>
      </w:tblGrid>
      <w:tr>
        <w:trPr/>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62"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The Registrant’s Registration Statement on </w:t>
            </w:r>
            <w:hyperlink r:id="rId4">
              <w:r>
                <w:rPr>
                  <w:rStyle w:val="InternetLink"/>
                  <w:rFonts w:ascii="Times New Roman" w:hAnsi="Times New Roman"/>
                  <w:caps w:val="false"/>
                  <w:smallCaps w:val="false"/>
                  <w:sz w:val="20"/>
                </w:rPr>
                <w:t>Form 8</w:t>
                <w:noBreakHyphen/>
                <w:t>A12G, filed with the SEC on August 10, 2000 (File No. 000</w:t>
                <w:noBreakHyphen/>
                <w:t>31311)</w:t>
              </w:r>
            </w:hyperlink>
            <w:r>
              <w:rPr>
                <w:rFonts w:ascii="Times New Roman" w:hAnsi="Times New Roman"/>
                <w:caps w:val="false"/>
                <w:smallCaps w:val="false"/>
                <w:sz w:val="20"/>
              </w:rPr>
              <w:t xml:space="preserve"> together with </w:t>
            </w:r>
            <w:hyperlink r:id="rId5">
              <w:r>
                <w:rPr>
                  <w:rStyle w:val="InternetLink"/>
                  <w:rFonts w:ascii="Times New Roman" w:hAnsi="Times New Roman"/>
                  <w:caps w:val="false"/>
                  <w:smallCaps w:val="false"/>
                  <w:sz w:val="20"/>
                </w:rPr>
                <w:t>Amendment No. 1 to the Registrant’s Registration Statement on Form 8</w:t>
                <w:noBreakHyphen/>
                <w:t>A12G, filed with the SEC on July 24, 2001 (File No. 000</w:t>
                <w:noBreakHyphen/>
                <w:t>31311)</w:t>
              </w:r>
            </w:hyperlink>
            <w:r>
              <w:rPr>
                <w:rFonts w:ascii="Times New Roman" w:hAnsi="Times New Roman"/>
                <w:caps w:val="false"/>
                <w:smallCaps w:val="false"/>
                <w:sz w:val="20"/>
              </w:rPr>
              <w:t>, in which are described the terms, rights and provisions applicable to the Registrant’s Common Stock (the “Common Stock”), and including any other amendments or reports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a part hereof from the date of filing of such documents, except as to specific sections of such statements as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Unless expressly incorporated into this Registration Statement, a report furnished on Form 8</w:t>
        <w:noBreakHyphen/>
        <w:t>K prior or subsequent to the date hereof shall not be incorporated by reference into this Registration Statement. Any statement contained in a document incorporated or deemed to be incorporated herein by reference shall be deemed to be modified or superseded for purposes of this Registration Statement to the extent that a statement contained herein or in any other subsequently filed document which also is or is deemed to be incorporated herein by reference modifies or supersedes such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 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5. Interests of Named Experts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any such person in connection with any threatened, pending or completed actions, suits or proceedings in which such person is made a party by reason of such person being or having been a director, officer, employee or agent of the Registrant. The Delaware General Corporation Law provides that Section 145 is not exclusive of other rights to which those seeking indemnification may be entitled under any bylaw, agreement, vote of stockholders or disinterested directors or otherwise. Article XIII of the Registrant’s Third Amended and Restated Certificate of Incorporation and Article VI of the Registrant’s Amended and Restated Bylaws provide for indemnification by the Registrant of its directors and officers to the fullest extent permitted by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102(b)(7) of the Delaware General Corporation Law permits a corporation to provide in its certificate of incorporation that a director or officer of the corporation shall not be personally liable to the corporation or its stockholders for monetary damages for breach of fiduciary duty, except for liability (i) for any breach of the director or officer’s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or officer derived an improper personal benefit. The Registrant’s Third Amended and Restated Certificate of Incorporation provides for such limitation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 has obtained directors’ and officers’ insurance providing indemnification for certain of the Registrant’s directors, officers and employees for certain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 has entered into indemnification agreements with each director and executive officer which provide indemnification that is, in some respects, broader than the specific indemnification provisions contained in the Delaware General Corporation Law and provides indemnification under certain circumstances for acts and omissions which may not be covered by any directors’ and officers’ liability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7. Exemption From Registration Claimed.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8.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0"/>
        <w:gridCol w:w="60"/>
        <w:gridCol w:w="9435"/>
      </w:tblGrid>
      <w:tr>
        <w:trPr/>
        <w:tc>
          <w:tcPr>
            <w:tcW w:w="71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Exhibit </w:t>
            </w:r>
            <w:r>
              <w:rPr>
                <w:rFonts w:ascii="Times New Roman" w:hAnsi="Times New Roman"/>
                <w:caps w:val="false"/>
                <w:smallCaps w:val="false"/>
                <w:sz w:val="20"/>
              </w:rPr>
              <w:br/>
            </w: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4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Exhibit</w:t>
            </w:r>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w:anchor="ex_994955.htm">
              <w:r>
                <w:rPr>
                  <w:rStyle w:val="InternetLink"/>
                  <w:rFonts w:ascii="Times New Roman" w:hAnsi="Times New Roman"/>
                  <w:caps w:val="false"/>
                  <w:smallCaps w:val="false"/>
                  <w:sz w:val="20"/>
                </w:rPr>
                <w:t>Opinion and Consent of Latham &amp; Watkins LLP</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23.1*</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w:anchor="ex_994956.htm">
              <w:r>
                <w:rPr>
                  <w:rStyle w:val="InternetLink"/>
                  <w:rFonts w:ascii="Times New Roman" w:hAnsi="Times New Roman"/>
                  <w:caps w:val="false"/>
                  <w:smallCaps w:val="false"/>
                  <w:sz w:val="20"/>
                </w:rPr>
                <w:t>Consent of BPM LLP, Independent Registered Public Accounting Firm</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23.2*</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w:anchor="ex_994955.htm">
              <w:r>
                <w:rPr>
                  <w:rStyle w:val="InternetLink"/>
                  <w:rFonts w:ascii="Times New Roman" w:hAnsi="Times New Roman"/>
                  <w:caps w:val="false"/>
                  <w:smallCaps w:val="false"/>
                  <w:sz w:val="20"/>
                </w:rPr>
                <w:t>Consent of Latham &amp; Watkins LLP (included in Exhibit 5.1)</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24.1</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w:anchor="poa">
              <w:r>
                <w:rPr>
                  <w:rStyle w:val="InternetLink"/>
                  <w:rFonts w:ascii="Times New Roman" w:hAnsi="Times New Roman"/>
                  <w:caps w:val="false"/>
                  <w:smallCaps w:val="false"/>
                  <w:sz w:val="20"/>
                </w:rPr>
                <w:t>Power of Attorney (incorporated by reference to the signature page hereto)</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r:id="rId6">
              <w:r>
                <w:rPr>
                  <w:rStyle w:val="InternetLink"/>
                  <w:rFonts w:ascii="Times New Roman" w:hAnsi="Times New Roman"/>
                  <w:caps w:val="false"/>
                  <w:smallCaps w:val="false"/>
                  <w:sz w:val="20"/>
                </w:rPr>
                <w:t>Eleventh Amended and Restated 2011 Stock Incentive Plan (incorporated herein by reference to Appendix A to Registrant’s Definitive Proxy Statement on Schedule 14A filed on April 29, 2026)</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99.2</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sz w:val="20"/>
                </w:rPr>
                <w:t>Third Amended and Restated 2021 Employee Stock Purchase Plan (incorporated herein by reference to Appendix B to Registrant’s Definitive Proxy Statement on Schedule 14A filed on April 29, 2026)</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w:anchor="ex_990533.htm">
              <w:r>
                <w:rPr>
                  <w:rStyle w:val="InternetLink"/>
                  <w:rFonts w:ascii="Times New Roman" w:hAnsi="Times New Roman"/>
                  <w:caps w:val="false"/>
                  <w:smallCaps w:val="false"/>
                  <w:sz w:val="20"/>
                </w:rPr>
                <w:t>Filing Fee Table</w:t>
              </w:r>
            </w:hyperlink>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9. Undertakings.</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30"/>
        <w:gridCol w:w="386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38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undersigned Registrant hereby undertakes: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3"/>
        <w:gridCol w:w="9902"/>
      </w:tblGrid>
      <w:tr>
        <w:trPr/>
        <w:tc>
          <w:tcPr>
            <w:tcW w:w="60" w:type="dxa"/>
            <w:tcBorders/>
            <w:vAlign w:val="center"/>
          </w:tcPr>
          <w:p>
            <w:pPr>
              <w:pStyle w:val="TableContents"/>
              <w:bidi w:val="0"/>
              <w:spacing w:before="0" w:after="283"/>
              <w:jc w:val="both"/>
              <w:rPr/>
            </w:pPr>
            <w:r>
              <w:rPr/>
              <w:t> </w:t>
            </w:r>
          </w:p>
        </w:tc>
        <w:tc>
          <w:tcPr>
            <w:tcW w:w="24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99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file, during any period in which offers or sales are being made, a post-effective amendment to this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60"/>
        <w:gridCol w:w="200"/>
        <w:gridCol w:w="6230"/>
      </w:tblGrid>
      <w:tr>
        <w:trPr/>
        <w:tc>
          <w:tcPr>
            <w:tcW w:w="60"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w:t>
            </w:r>
          </w:p>
        </w:tc>
        <w:tc>
          <w:tcPr>
            <w:tcW w:w="6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include any prospectus required by Section 10(a)(3) of the Securities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6"/>
        <w:gridCol w:w="9939"/>
      </w:tblGrid>
      <w:tr>
        <w:trPr/>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93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Filing Fee Tables” or “Calculation of Registration Fee” table, as applicable, in the effective Registration Statement;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4"/>
        <w:gridCol w:w="9851"/>
      </w:tblGrid>
      <w:tr>
        <w:trPr/>
        <w:tc>
          <w:tcPr>
            <w:tcW w:w="60" w:type="dxa"/>
            <w:tcBorders/>
            <w:vAlign w:val="center"/>
          </w:tcPr>
          <w:p>
            <w:pPr>
              <w:pStyle w:val="TableContents"/>
              <w:bidi w:val="0"/>
              <w:spacing w:before="0" w:after="283"/>
              <w:jc w:val="both"/>
              <w:rPr/>
            </w:pPr>
            <w:r>
              <w:rPr/>
              <w:t> </w:t>
            </w:r>
          </w:p>
        </w:tc>
        <w:tc>
          <w:tcPr>
            <w:tcW w:w="29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(iii)</w:t>
            </w:r>
          </w:p>
        </w:tc>
        <w:tc>
          <w:tcPr>
            <w:tcW w:w="985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60" w:right="0" w:hanging="0"/>
        <w:jc w:val="both"/>
        <w:rPr>
          <w:rFonts w:ascii="Times New Roman" w:hAnsi="Times New Roman"/>
          <w:caps w:val="false"/>
          <w:smallCaps w:val="false"/>
          <w:sz w:val="20"/>
        </w:rPr>
      </w:pP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paragraphs (1)(i) and (1)(ii) do not apply if the information required to be included in the post-effective amendment by those paragraphs is contained in periodic reports filed with or furnished to the SEC by the Registrant pursuant to Section 13 or 15(d) of the Exchange Act that are incorporated by reference in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7"/>
        <w:gridCol w:w="9938"/>
      </w:tblGrid>
      <w:tr>
        <w:trPr/>
        <w:tc>
          <w:tcPr>
            <w:tcW w:w="60" w:type="dxa"/>
            <w:tcBorders/>
            <w:vAlign w:val="center"/>
          </w:tcPr>
          <w:p>
            <w:pPr>
              <w:pStyle w:val="TableContents"/>
              <w:bidi w:val="0"/>
              <w:spacing w:before="0" w:after="283"/>
              <w:jc w:val="both"/>
              <w:rPr/>
            </w:pPr>
            <w:r>
              <w:rPr/>
              <w:t> </w:t>
            </w:r>
          </w:p>
        </w:tc>
        <w:tc>
          <w:tcPr>
            <w:tcW w:w="20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993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9"/>
        <w:gridCol w:w="9916"/>
      </w:tblGrid>
      <w:tr>
        <w:trPr/>
        <w:tc>
          <w:tcPr>
            <w:tcW w:w="60" w:type="dxa"/>
            <w:tcBorders/>
            <w:vAlign w:val="center"/>
          </w:tcPr>
          <w:p>
            <w:pPr>
              <w:pStyle w:val="TableContents"/>
              <w:bidi w:val="0"/>
              <w:spacing w:before="0" w:after="283"/>
              <w:jc w:val="both"/>
              <w:rPr/>
            </w:pPr>
            <w:r>
              <w:rPr/>
              <w:t> </w:t>
            </w:r>
          </w:p>
        </w:tc>
        <w:tc>
          <w:tcPr>
            <w:tcW w:w="2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99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the Registrant certifies that it has reasonable grounds to believe that it meets all of the requirements for filing on Form S</w:t>
        <w:noBreakHyphen/>
        <w:t>8 and has duly caused this Registration Statement to be signed on its behalf by the undersigned, thereunto duly authorized, in the City of Santa Clara, State of California, on the 6th day of August, 2026.</w:t>
      </w:r>
    </w:p>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60"/>
        <w:gridCol w:w="320"/>
        <w:gridCol w:w="3080"/>
      </w:tblGrid>
      <w:tr>
        <w:trPr/>
        <w:tc>
          <w:tcPr>
            <w:tcW w:w="60"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PDF SOLUTIONS,</w:t>
            </w:r>
            <w:r>
              <w:rPr>
                <w:rFonts w:ascii="Times New Roman" w:hAnsi="Times New Roman"/>
                <w:caps w:val="false"/>
                <w:smallCaps w:val="false"/>
                <w:sz w:val="20"/>
              </w:rPr>
              <w:t> </w:t>
            </w:r>
            <w:r>
              <w:rPr>
                <w:rFonts w:ascii="Times New Roman" w:hAnsi="Times New Roman"/>
                <w:b/>
                <w:caps w:val="false"/>
                <w:smallCaps w:val="false"/>
                <w:sz w:val="20"/>
              </w:rPr>
              <w:t>INC.</w:t>
            </w:r>
          </w:p>
        </w:tc>
      </w:tr>
      <w:tr>
        <w:trPr/>
        <w:tc>
          <w:tcPr>
            <w:tcW w:w="60"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(Registrant)</w:t>
            </w:r>
          </w:p>
        </w:tc>
      </w:tr>
      <w:tr>
        <w:trPr/>
        <w:tc>
          <w:tcPr>
            <w:tcW w:w="60"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John K. Kibarian</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K. Kibarian</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 w:name="poa"/>
      <w:bookmarkEnd w:id="2"/>
      <w:r>
        <w:rPr>
          <w:rFonts w:ascii="Times New Roman" w:hAnsi="Times New Roman"/>
          <w:b/>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KNOW ALL PERSONS BY THESE PRESENTS, that each individual whose signature appears below constitutes and appoints John K. Kibarian and Adnan Raza, jointly and severally, as his or her true and lawful attorneys-in-fact, each with full power of substitution and resubstitution, for him or her, and in his or her name, place and stead, in any and all capacities, to sign any and all amendments (including post-effective amendments) to this Registration Statement on Form S</w:t>
        <w:noBreakHyphen/>
        <w:t>8, and to file the same, with all exhibits thereto and all documents in connection therewith, with the SEC, granting unto said attorneys-in-fact and agents, and each of them, full power and authority to do and perform each and every act and thing requisite and necessary to be done, as fully to all intents and purposes as he or she might or could do in person, and hereby ratifying and confirming all that each of said attorneys-in-fact and agents or any of them, or their or his substitute or substitutes, may lawfully do or cause to be done by virtue hereof. This power of attorney does not revoke any power of attorney previously granted by the undersigned, or any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110" w:type="dxa"/>
        <w:jc w:val="left"/>
        <w:tblInd w:w="0" w:type="dxa"/>
        <w:tblLayout w:type="fixed"/>
        <w:tblCellMar>
          <w:top w:w="0" w:type="dxa"/>
          <w:left w:w="0" w:type="dxa"/>
          <w:bottom w:w="0" w:type="dxa"/>
          <w:right w:w="0" w:type="dxa"/>
        </w:tblCellMar>
      </w:tblPr>
      <w:tblGrid>
        <w:gridCol w:w="2015"/>
        <w:gridCol w:w="3830"/>
        <w:gridCol w:w="1265"/>
      </w:tblGrid>
      <w:tr>
        <w:trPr/>
        <w:tc>
          <w:tcPr>
            <w:tcW w:w="20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w:t>
            </w:r>
          </w:p>
        </w:tc>
        <w:tc>
          <w:tcPr>
            <w:tcW w:w="383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w:t>
            </w:r>
          </w:p>
        </w:tc>
        <w:tc>
          <w:tcPr>
            <w:tcW w:w="12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r>
      <w:tr>
        <w:trPr/>
        <w:tc>
          <w:tcPr>
            <w:tcW w:w="201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r>
      <w:tr>
        <w:trPr/>
        <w:tc>
          <w:tcPr>
            <w:tcW w:w="20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John K. Kibarian</w:t>
            </w:r>
          </w:p>
        </w:tc>
        <w:tc>
          <w:tcPr>
            <w:tcW w:w="38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 President and Chief Executive Officer</w:t>
            </w:r>
          </w:p>
        </w:tc>
        <w:tc>
          <w:tcPr>
            <w:tcW w:w="1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6, 2026</w:t>
            </w:r>
          </w:p>
        </w:tc>
      </w:tr>
      <w:tr>
        <w:trPr/>
        <w:tc>
          <w:tcPr>
            <w:tcW w:w="20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John K. Kibarian</w:t>
            </w:r>
          </w:p>
        </w:tc>
        <w:tc>
          <w:tcPr>
            <w:tcW w:w="38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126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r>
      <w:tr>
        <w:trPr/>
        <w:tc>
          <w:tcPr>
            <w:tcW w:w="20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Adnan Raza</w:t>
            </w:r>
          </w:p>
        </w:tc>
        <w:tc>
          <w:tcPr>
            <w:tcW w:w="38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Executive Vice President, Finance and Chief</w:t>
            </w:r>
          </w:p>
        </w:tc>
        <w:tc>
          <w:tcPr>
            <w:tcW w:w="1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6, 2026</w:t>
            </w:r>
          </w:p>
        </w:tc>
      </w:tr>
      <w:tr>
        <w:trPr/>
        <w:tc>
          <w:tcPr>
            <w:tcW w:w="20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Adnan Raza</w:t>
            </w:r>
          </w:p>
        </w:tc>
        <w:tc>
          <w:tcPr>
            <w:tcW w:w="38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Financial Officer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c>
          <w:tcPr>
            <w:tcW w:w="126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r>
      <w:tr>
        <w:trPr/>
        <w:tc>
          <w:tcPr>
            <w:tcW w:w="20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Joseph R. Bronson</w:t>
            </w:r>
          </w:p>
        </w:tc>
        <w:tc>
          <w:tcPr>
            <w:tcW w:w="38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Lead Independent Director</w:t>
            </w:r>
          </w:p>
        </w:tc>
        <w:tc>
          <w:tcPr>
            <w:tcW w:w="1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6, 2026</w:t>
            </w:r>
          </w:p>
        </w:tc>
      </w:tr>
      <w:tr>
        <w:trPr/>
        <w:tc>
          <w:tcPr>
            <w:tcW w:w="20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Joseph R. Bronson</w:t>
            </w:r>
          </w:p>
        </w:tc>
        <w:tc>
          <w:tcPr>
            <w:tcW w:w="383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r>
      <w:tr>
        <w:trPr/>
        <w:tc>
          <w:tcPr>
            <w:tcW w:w="20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Chi-Foon Chan</w:t>
            </w:r>
          </w:p>
        </w:tc>
        <w:tc>
          <w:tcPr>
            <w:tcW w:w="38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1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6, 2026</w:t>
            </w:r>
          </w:p>
        </w:tc>
      </w:tr>
      <w:tr>
        <w:trPr/>
        <w:tc>
          <w:tcPr>
            <w:tcW w:w="20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Chi-Foon Chan</w:t>
            </w:r>
          </w:p>
        </w:tc>
        <w:tc>
          <w:tcPr>
            <w:tcW w:w="383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r>
      <w:tr>
        <w:trPr/>
        <w:tc>
          <w:tcPr>
            <w:tcW w:w="20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Nancy Erba</w:t>
            </w:r>
          </w:p>
        </w:tc>
        <w:tc>
          <w:tcPr>
            <w:tcW w:w="38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1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6, 2026</w:t>
            </w:r>
          </w:p>
        </w:tc>
      </w:tr>
      <w:tr>
        <w:trPr/>
        <w:tc>
          <w:tcPr>
            <w:tcW w:w="20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Nancy Erba</w:t>
            </w:r>
          </w:p>
        </w:tc>
        <w:tc>
          <w:tcPr>
            <w:tcW w:w="383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r>
      <w:tr>
        <w:trPr/>
        <w:tc>
          <w:tcPr>
            <w:tcW w:w="20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Michael B. Gustafson</w:t>
            </w:r>
          </w:p>
        </w:tc>
        <w:tc>
          <w:tcPr>
            <w:tcW w:w="38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1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6, 2026</w:t>
            </w:r>
          </w:p>
        </w:tc>
      </w:tr>
      <w:tr>
        <w:trPr/>
        <w:tc>
          <w:tcPr>
            <w:tcW w:w="20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Michael B. Gustafson</w:t>
            </w:r>
          </w:p>
        </w:tc>
        <w:tc>
          <w:tcPr>
            <w:tcW w:w="383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r>
      <w:tr>
        <w:trPr/>
        <w:tc>
          <w:tcPr>
            <w:tcW w:w="20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Ye Jane Li</w:t>
            </w:r>
          </w:p>
        </w:tc>
        <w:tc>
          <w:tcPr>
            <w:tcW w:w="38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1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6, 2026</w:t>
            </w:r>
          </w:p>
        </w:tc>
      </w:tr>
      <w:tr>
        <w:trPr/>
        <w:tc>
          <w:tcPr>
            <w:tcW w:w="20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Ye Jane Li</w:t>
            </w:r>
          </w:p>
        </w:tc>
        <w:tc>
          <w:tcPr>
            <w:tcW w:w="383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r>
      <w:tr>
        <w:trPr/>
        <w:tc>
          <w:tcPr>
            <w:tcW w:w="20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Kimon W. Michaels</w:t>
            </w:r>
          </w:p>
        </w:tc>
        <w:tc>
          <w:tcPr>
            <w:tcW w:w="38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1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6, 2026</w:t>
            </w:r>
          </w:p>
        </w:tc>
      </w:tr>
      <w:tr>
        <w:trPr/>
        <w:tc>
          <w:tcPr>
            <w:tcW w:w="20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Kimon W. Michaels</w:t>
            </w:r>
          </w:p>
        </w:tc>
        <w:tc>
          <w:tcPr>
            <w:tcW w:w="383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r>
      <w:tr>
        <w:trPr/>
        <w:tc>
          <w:tcPr>
            <w:tcW w:w="20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Shuo Zhang</w:t>
            </w:r>
          </w:p>
        </w:tc>
        <w:tc>
          <w:tcPr>
            <w:tcW w:w="38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1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6, 2026</w:t>
            </w:r>
          </w:p>
        </w:tc>
      </w:tr>
      <w:tr>
        <w:trPr/>
        <w:tc>
          <w:tcPr>
            <w:tcW w:w="20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Shuo Zhang</w:t>
            </w:r>
          </w:p>
        </w:tc>
        <w:tc>
          <w:tcPr>
            <w:tcW w:w="383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3" w:name="ex_994955.htm"/>
      <w:bookmarkStart w:id="4" w:name="ksex_994955"/>
      <w:bookmarkEnd w:id="3"/>
      <w:bookmarkEnd w:id="4"/>
      <w:r>
        <w:rPr>
          <w:rFonts w:ascii="Times New Roman;Times;serif" w:hAnsi="Times New Roman;Times;serif"/>
          <w:b/>
          <w:sz w:val="20"/>
        </w:rPr>
        <w:t>Exhibit 5.1</w:t>
      </w:r>
      <w:r>
        <w:br w:type="page"/>
      </w:r>
    </w:p>
    <w:p>
      <w:pPr>
        <w:pStyle w:val="TextBody"/>
        <w:bidi w:val="0"/>
        <w:spacing w:before="0" w:after="0"/>
        <w:ind w:left="0" w:right="0" w:hanging="0"/>
        <w:jc w:val="left"/>
        <w:rPr/>
      </w:pPr>
      <w:r>
        <w:rPr/>
        <w:t> </w:t>
      </w:r>
    </w:p>
    <w:tbl>
      <w:tblPr>
        <w:tblW w:w="6874" w:type="dxa"/>
        <w:jc w:val="left"/>
        <w:tblInd w:w="0" w:type="dxa"/>
        <w:tblLayout w:type="fixed"/>
        <w:tblCellMar>
          <w:top w:w="0" w:type="dxa"/>
          <w:left w:w="0" w:type="dxa"/>
          <w:bottom w:w="0" w:type="dxa"/>
          <w:right w:w="0" w:type="dxa"/>
        </w:tblCellMar>
      </w:tblPr>
      <w:tblGrid>
        <w:gridCol w:w="4275"/>
        <w:gridCol w:w="1077"/>
        <w:gridCol w:w="1522"/>
      </w:tblGrid>
      <w:tr>
        <w:trPr/>
        <w:tc>
          <w:tcPr>
            <w:tcW w:w="4275" w:type="dxa"/>
            <w:vMerge w:val="restart"/>
            <w:tcBorders/>
            <w:vAlign w:val="center"/>
          </w:tcPr>
          <w:p>
            <w:pPr>
              <w:pStyle w:val="TableContents"/>
              <w:bidi w:val="0"/>
              <w:spacing w:before="0" w:after="0"/>
              <w:ind w:left="0" w:right="0" w:hanging="0"/>
              <w:jc w:val="left"/>
              <w:rPr/>
            </w:pPr>
            <w:r>
              <w:rPr/>
              <w:drawing>
                <wp:inline distT="0" distB="0" distL="0" distR="0">
                  <wp:extent cx="2714625"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8"/>
                          <a:stretch>
                            <a:fillRect/>
                          </a:stretch>
                        </pic:blipFill>
                        <pic:spPr bwMode="auto">
                          <a:xfrm>
                            <a:off x="0" y="0"/>
                            <a:ext cx="2714625" cy="333375"/>
                          </a:xfrm>
                          <a:prstGeom prst="rect">
                            <a:avLst/>
                          </a:prstGeom>
                        </pic:spPr>
                      </pic:pic>
                    </a:graphicData>
                  </a:graphic>
                </wp:inline>
              </w:drawing>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August 6, 2026</w:t>
            </w:r>
          </w:p>
        </w:tc>
        <w:tc>
          <w:tcPr>
            <w:tcW w:w="2599" w:type="dxa"/>
            <w:gridSpan w:val="2"/>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801 Jefferson Avenue, Suite 300</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Redwood City, California  94063</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Tel: +1.650.328.4600  Fax: +1.650.463.2600</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www.lw.com</w:t>
            </w:r>
          </w:p>
        </w:tc>
      </w:tr>
      <w:tr>
        <w:trPr/>
        <w:tc>
          <w:tcPr>
            <w:tcW w:w="4275" w:type="dxa"/>
            <w:vMerge w:val="continue"/>
            <w:tcBorders/>
            <w:vAlign w:val="center"/>
          </w:tcPr>
          <w:p>
            <w:pPr>
              <w:pStyle w:val="Normal"/>
              <w:bidi w:val="0"/>
              <w:jc w:val="left"/>
              <w:rPr/>
            </w:pPr>
            <w:r>
              <w:rPr/>
            </w:r>
          </w:p>
        </w:tc>
        <w:tc>
          <w:tcPr>
            <w:tcW w:w="1077" w:type="dxa"/>
            <w:tcBorders/>
            <w:vAlign w:val="center"/>
          </w:tcPr>
          <w:p>
            <w:pPr>
              <w:pStyle w:val="TableContents"/>
              <w:bidi w:val="0"/>
              <w:spacing w:before="0" w:after="283"/>
              <w:jc w:val="left"/>
              <w:rPr/>
            </w:pPr>
            <w:r>
              <w:rPr/>
              <w:t> </w:t>
            </w:r>
          </w:p>
        </w:tc>
        <w:tc>
          <w:tcPr>
            <w:tcW w:w="1522" w:type="dxa"/>
            <w:tcBorders/>
            <w:vAlign w:val="center"/>
          </w:tcPr>
          <w:p>
            <w:pPr>
              <w:pStyle w:val="TableContents"/>
              <w:bidi w:val="0"/>
              <w:spacing w:before="0" w:after="283"/>
              <w:jc w:val="left"/>
              <w:rPr/>
            </w:pPr>
            <w:r>
              <w:rPr/>
              <w:t> </w:t>
            </w:r>
          </w:p>
        </w:tc>
      </w:tr>
      <w:tr>
        <w:trPr/>
        <w:tc>
          <w:tcPr>
            <w:tcW w:w="4275" w:type="dxa"/>
            <w:vMerge w:val="continue"/>
            <w:tcBorders/>
            <w:vAlign w:val="center"/>
          </w:tcPr>
          <w:p>
            <w:pPr>
              <w:pStyle w:val="Normal"/>
              <w:bidi w:val="0"/>
              <w:jc w:val="left"/>
              <w:rPr/>
            </w:pPr>
            <w:r>
              <w:rPr/>
            </w:r>
          </w:p>
        </w:tc>
        <w:tc>
          <w:tcPr>
            <w:tcW w:w="2599" w:type="dxa"/>
            <w:gridSpan w:val="2"/>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FIRM / AFFILIATE OFFICES</w:t>
            </w:r>
          </w:p>
        </w:tc>
      </w:tr>
      <w:tr>
        <w:trPr/>
        <w:tc>
          <w:tcPr>
            <w:tcW w:w="4275" w:type="dxa"/>
            <w:vMerge w:val="continue"/>
            <w:tcBorders/>
            <w:vAlign w:val="center"/>
          </w:tcPr>
          <w:p>
            <w:pPr>
              <w:pStyle w:val="Normal"/>
              <w:bidi w:val="0"/>
              <w:jc w:val="left"/>
              <w:rPr/>
            </w:pPr>
            <w:r>
              <w:rPr/>
            </w:r>
          </w:p>
        </w:tc>
        <w:tc>
          <w:tcPr>
            <w:tcW w:w="107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Austin</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Beijing</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Boston</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Brussels</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Chicago</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Dubai</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Düsseldorf</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Frankfurt</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Hamburg</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Hong Kong</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Houston</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London</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 Angeles</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Madrid</w:t>
            </w:r>
          </w:p>
        </w:tc>
        <w:tc>
          <w:tcPr>
            <w:tcW w:w="152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Milan</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Munich</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New York</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Orange County</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Paris</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Riyadh</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San Diego</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San Francisco</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Seoul</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Silicon Valley</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Singapore</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Tel Aviv</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Tokyo</w:t>
            </w:r>
          </w:p>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Washington, D.C.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PDF Solutions, Inc.</w:t>
        <w:br/>
        <w:t>2858 De La Cruz Boulevard</w:t>
        <w:br/>
        <w:t>Santa Clara, California 95050</w:t>
      </w:r>
    </w:p>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60"/>
        <w:gridCol w:w="305"/>
        <w:gridCol w:w="2915"/>
      </w:tblGrid>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w:t>
            </w:r>
          </w:p>
        </w:tc>
        <w:tc>
          <w:tcPr>
            <w:tcW w:w="2915" w:type="dxa"/>
            <w:tcBorders/>
            <w:vAlign w:val="center"/>
          </w:tcPr>
          <w:p>
            <w:pPr>
              <w:pStyle w:val="TableContents"/>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Registration Statement on Form S-8</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addressee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acted as special counsel to PDF Solutions, Inc., a Delaware corporation (the “</w:t>
      </w:r>
      <w:r>
        <w:rPr>
          <w:rFonts w:ascii="Times New Roman" w:hAnsi="Times New Roman"/>
          <w:b/>
          <w:i/>
          <w:caps w:val="false"/>
          <w:smallCaps w:val="false"/>
          <w:sz w:val="20"/>
        </w:rPr>
        <w:t>Company</w:t>
      </w:r>
      <w:r>
        <w:rPr>
          <w:rFonts w:ascii="Times New Roman" w:hAnsi="Times New Roman"/>
          <w:caps w:val="false"/>
          <w:smallCaps w:val="false"/>
          <w:sz w:val="20"/>
        </w:rPr>
        <w:t>”), in connection with the registration by the Company of an aggregate of 2,000,000 shares of common stock of the Company, par value $0.00015 per share (the “</w:t>
      </w:r>
      <w:r>
        <w:rPr>
          <w:rFonts w:ascii="Times New Roman" w:hAnsi="Times New Roman"/>
          <w:b/>
          <w:i/>
          <w:caps w:val="false"/>
          <w:smallCaps w:val="false"/>
          <w:sz w:val="20"/>
        </w:rPr>
        <w:t>Shares</w:t>
      </w:r>
      <w:r>
        <w:rPr>
          <w:rFonts w:ascii="Times New Roman" w:hAnsi="Times New Roman"/>
          <w:caps w:val="false"/>
          <w:smallCaps w:val="false"/>
          <w:sz w:val="20"/>
        </w:rPr>
        <w:t>”), issuable under the Company’s Eleventh Amended and Restated 2011 Stock Incentive Plan and Third Amended and Restated 2021 Employee Stock Purchase Plan (the “</w:t>
      </w:r>
      <w:r>
        <w:rPr>
          <w:rFonts w:ascii="Times New Roman" w:hAnsi="Times New Roman"/>
          <w:b/>
          <w:i/>
          <w:caps w:val="false"/>
          <w:smallCaps w:val="false"/>
          <w:sz w:val="20"/>
        </w:rPr>
        <w:t>Plans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Shares are included in a registration statement on Form S-8 under the Securities Act of 1933, as amended (the “</w:t>
      </w:r>
      <w:r>
        <w:rPr>
          <w:rFonts w:ascii="Times New Roman" w:hAnsi="Times New Roman"/>
          <w:b/>
          <w:i/>
          <w:caps w:val="false"/>
          <w:smallCaps w:val="false"/>
          <w:sz w:val="20"/>
        </w:rPr>
        <w:t>Securities Act</w:t>
      </w:r>
      <w:r>
        <w:rPr>
          <w:rFonts w:ascii="Times New Roman" w:hAnsi="Times New Roman"/>
          <w:caps w:val="false"/>
          <w:smallCaps w:val="false"/>
          <w:sz w:val="20"/>
        </w:rPr>
        <w:t>”), filed with the Securities and Exchange Commission (the “</w:t>
      </w:r>
      <w:r>
        <w:rPr>
          <w:rFonts w:ascii="Times New Roman" w:hAnsi="Times New Roman"/>
          <w:b/>
          <w:i/>
          <w:caps w:val="false"/>
          <w:smallCaps w:val="false"/>
          <w:sz w:val="20"/>
        </w:rPr>
        <w:t>Commission</w:t>
      </w:r>
      <w:r>
        <w:rPr>
          <w:rFonts w:ascii="Times New Roman" w:hAnsi="Times New Roman"/>
          <w:caps w:val="false"/>
          <w:smallCaps w:val="false"/>
          <w:sz w:val="20"/>
        </w:rPr>
        <w:t>”) on August 6, 2026 (the “</w:t>
      </w:r>
      <w:r>
        <w:rPr>
          <w:rFonts w:ascii="Times New Roman" w:hAnsi="Times New Roman"/>
          <w:b/>
          <w:i/>
          <w:caps w:val="false"/>
          <w:smallCaps w:val="false"/>
          <w:sz w:val="20"/>
        </w:rPr>
        <w:t>Registration Statement</w:t>
      </w:r>
      <w:r>
        <w:rPr>
          <w:rFonts w:ascii="Times New Roman" w:hAnsi="Times New Roman"/>
          <w:caps w:val="false"/>
          <w:smallCaps w:val="false"/>
          <w:sz w:val="20"/>
        </w:rPr>
        <w:t>”). This opinion is being furnished in connection with the requirements of Item 601(b)(5) of Regulation S-K under the Securities Act, and no opinion is expressed herein as to any matter pertaining to the contents of the Registration Statement or related prospectus, other than as expressly stated herein with respect to the issuance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hAnsi="Times New Roman"/>
          <w:b/>
          <w:i/>
          <w:caps w:val="false"/>
          <w:smallCaps w:val="false"/>
          <w:sz w:val="20"/>
        </w:rPr>
        <w:t>DGCL</w:t>
      </w:r>
      <w:r>
        <w:rPr>
          <w:rFonts w:ascii="Times New Roman" w:hAnsi="Times New Roman"/>
          <w:caps w:val="false"/>
          <w:smallCaps w:val="false"/>
          <w:sz w:val="20"/>
        </w:rPr>
        <w:t>”), and we express no opinion with respect to any other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b/>
          <w:caps w:val="false"/>
          <w:smallCaps w:val="false"/>
          <w:sz w:val="14"/>
        </w:rPr>
      </w:pPr>
      <w:r>
        <w:rPr>
          <w:rFonts w:ascii="Times New Roman" w:hAnsi="Times New Roman"/>
          <w:b/>
          <w:caps w:val="false"/>
          <w:smallCaps w:val="false"/>
          <w:sz w:val="14"/>
        </w:rPr>
        <w:t>August 6, 2026</w:t>
      </w:r>
    </w:p>
    <w:p>
      <w:pPr>
        <w:pStyle w:val="TextBody"/>
        <w:bidi w:val="0"/>
        <w:spacing w:before="0" w:after="0"/>
        <w:ind w:left="0" w:right="0" w:hanging="0"/>
        <w:jc w:val="left"/>
        <w:rPr>
          <w:rFonts w:ascii="Times New Roman" w:hAnsi="Times New Roman"/>
          <w:b/>
          <w:caps w:val="false"/>
          <w:smallCaps w:val="false"/>
          <w:sz w:val="14"/>
        </w:rPr>
      </w:pPr>
      <w:r>
        <w:rPr>
          <w:rFonts w:ascii="Times New Roman" w:hAnsi="Times New Roman"/>
          <w:b/>
          <w:caps w:val="false"/>
          <w:smallCaps w:val="false"/>
          <w:sz w:val="14"/>
        </w:rPr>
        <w:t>Page 2</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895475" cy="23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1895475" cy="23812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Subject to the foregoing and the other matters set forth herein, it is our opinion that, as of the date hereof, when the Shares shall have been duly registered on the books of the transfer agent and registrar therefor in the name or on behalf of the purchasers, or certificates representing the Shares have been manually signed by an authorized officer of the transfer agent and registrar therefor, and have been issued by the Company for legal consideration of not less than par value in the circumstances contemplated by the Plans, assuming in each case that the individual issuances, grants or awards under the Plans are duly authorized by all necessary corporate action and duly issued, granted or awarded and exercised in accordance with the requirements of law and the Plans (and the agreements and awards duly adopted thereunder and in accordance therewith), the issuance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opinion is for your benefit in connection with the Registration Statement and may be relied upon by you and by persons entitled to rely upon it pursuant to the applicable provisions of the Securities Act. We consent to your filing this opinion as an exhibit to the Registration Statement. In giving such consent, we do not thereby admit that we are in the category of persons whose consent is required under Section 7 of the Securities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2645" w:type="dxa"/>
        <w:jc w:val="left"/>
        <w:tblInd w:w="0" w:type="dxa"/>
        <w:tblLayout w:type="fixed"/>
        <w:tblCellMar>
          <w:top w:w="0" w:type="dxa"/>
          <w:left w:w="0" w:type="dxa"/>
          <w:bottom w:w="0" w:type="dxa"/>
          <w:right w:w="0" w:type="dxa"/>
        </w:tblCellMar>
      </w:tblPr>
      <w:tblGrid>
        <w:gridCol w:w="60"/>
        <w:gridCol w:w="2585"/>
      </w:tblGrid>
      <w:tr>
        <w:trPr/>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Sincerely,</w:t>
            </w:r>
          </w:p>
        </w:tc>
      </w:tr>
      <w:tr>
        <w:trPr/>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/s/ Latham &amp; Watkins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5" w:name="ex_994956.htm"/>
      <w:bookmarkStart w:id="6" w:name="ksex_994956"/>
      <w:bookmarkEnd w:id="5"/>
      <w:bookmarkEnd w:id="6"/>
      <w:r>
        <w:rPr>
          <w:rFonts w:ascii="Times New Roman" w:hAnsi="Times New Roman"/>
          <w:b/>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hereby consent to the incorporation by reference in this Registration Statement on Form S-8 of PDF Solutions, Inc. of our reports dated February 24, 2026, relating to the consolidated financial statements and the effectiveness of internal control over financial reporting, which appear in PDF Solutions, Inc.’s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BPM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 Jose, California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7" w:name="ex_990533.htm"/>
      <w:bookmarkStart w:id="8" w:name="ksex_990533"/>
      <w:bookmarkStart w:id="9" w:name="ex_990533.htm"/>
      <w:bookmarkStart w:id="10" w:name="ksex_990533"/>
      <w:bookmarkEnd w:id="9"/>
      <w:bookmarkEnd w:id="10"/>
      <w:r>
        <w:br w:type="page"/>
      </w:r>
    </w:p>
    <w:tbl>
      <w:tblPr>
        <w:tblW w:w="3575" w:type="dxa"/>
        <w:jc w:val="left"/>
        <w:tblInd w:w="0" w:type="dxa"/>
        <w:tblLayout w:type="fixed"/>
        <w:tblCellMar>
          <w:top w:w="28" w:type="dxa"/>
          <w:left w:w="28" w:type="dxa"/>
          <w:bottom w:w="28" w:type="dxa"/>
          <w:right w:w="28" w:type="dxa"/>
        </w:tblCellMar>
      </w:tblPr>
      <w:tblGrid>
        <w:gridCol w:w="3421"/>
        <w:gridCol w:w="154"/>
      </w:tblGrid>
      <w:tr>
        <w:trPr/>
        <w:tc>
          <w:tcPr>
            <w:tcW w:w="35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b/>
              </w:rPr>
            </w:pPr>
            <w:r>
              <w:rPr>
                <w:b/>
              </w:rPr>
              <w:t xml:space="preserve">PDF SOLUTIONS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8"/>
        <w:gridCol w:w="1013"/>
        <w:gridCol w:w="1296"/>
        <w:gridCol w:w="1204"/>
        <w:gridCol w:w="1225"/>
        <w:gridCol w:w="1708"/>
        <w:gridCol w:w="1127"/>
        <w:gridCol w:w="1432"/>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8"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13"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4"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25"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8"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32"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8" w:type="dxa"/>
            <w:tcBorders/>
            <w:shd w:fill="E7E7E2" w:val="clear"/>
            <w:vAlign w:val="center"/>
          </w:tcPr>
          <w:p>
            <w:pPr>
              <w:pStyle w:val="TableContents"/>
              <w:bidi w:val="0"/>
              <w:spacing w:before="0" w:after="283"/>
              <w:jc w:val="left"/>
              <w:rPr/>
            </w:pPr>
            <w:r>
              <w:rPr/>
              <w:t xml:space="preserve">Equity </w:t>
            </w:r>
          </w:p>
        </w:tc>
        <w:tc>
          <w:tcPr>
            <w:tcW w:w="1013" w:type="dxa"/>
            <w:tcBorders/>
            <w:shd w:fill="E7E7E2" w:val="clear"/>
            <w:vAlign w:val="center"/>
          </w:tcPr>
          <w:p>
            <w:pPr>
              <w:pStyle w:val="TableContents"/>
              <w:bidi w:val="0"/>
              <w:spacing w:before="0" w:after="283"/>
              <w:jc w:val="left"/>
              <w:rPr/>
            </w:pPr>
            <w:r>
              <w:rPr/>
              <w:t xml:space="preserve">Common Stock </w:t>
            </w:r>
          </w:p>
        </w:tc>
        <w:tc>
          <w:tcPr>
            <w:tcW w:w="1296" w:type="dxa"/>
            <w:tcBorders/>
            <w:shd w:fill="E7E7E2" w:val="clear"/>
            <w:vAlign w:val="center"/>
          </w:tcPr>
          <w:p>
            <w:pPr>
              <w:pStyle w:val="TableContents"/>
              <w:bidi w:val="0"/>
              <w:spacing w:before="0" w:after="283"/>
              <w:jc w:val="center"/>
              <w:rPr/>
            </w:pPr>
            <w:r>
              <w:rPr/>
              <w:t xml:space="preserve">Other </w:t>
            </w:r>
          </w:p>
        </w:tc>
        <w:tc>
          <w:tcPr>
            <w:tcW w:w="1204" w:type="dxa"/>
            <w:tcBorders/>
            <w:shd w:fill="E7E7E2" w:val="clear"/>
            <w:vAlign w:val="center"/>
          </w:tcPr>
          <w:p>
            <w:pPr>
              <w:pStyle w:val="TableContents"/>
              <w:bidi w:val="0"/>
              <w:spacing w:before="0" w:after="283"/>
              <w:jc w:val="right"/>
              <w:rPr/>
            </w:pPr>
            <w:r>
              <w:rPr/>
              <w:t xml:space="preserve">1,600,000 </w:t>
            </w:r>
          </w:p>
        </w:tc>
        <w:tc>
          <w:tcPr>
            <w:tcW w:w="1225" w:type="dxa"/>
            <w:tcBorders/>
            <w:shd w:fill="E7E7E2" w:val="clear"/>
            <w:vAlign w:val="center"/>
          </w:tcPr>
          <w:p>
            <w:pPr>
              <w:pStyle w:val="TableContents"/>
              <w:bidi w:val="0"/>
              <w:spacing w:before="0" w:after="283"/>
              <w:jc w:val="right"/>
              <w:rPr/>
            </w:pPr>
            <w:r>
              <w:rPr/>
              <w:t xml:space="preserve">$ 46.75 </w:t>
            </w:r>
          </w:p>
        </w:tc>
        <w:tc>
          <w:tcPr>
            <w:tcW w:w="1708" w:type="dxa"/>
            <w:tcBorders/>
            <w:shd w:fill="E7E7E2" w:val="clear"/>
            <w:vAlign w:val="center"/>
          </w:tcPr>
          <w:p>
            <w:pPr>
              <w:pStyle w:val="TableContents"/>
              <w:bidi w:val="0"/>
              <w:spacing w:before="0" w:after="283"/>
              <w:jc w:val="right"/>
              <w:rPr/>
            </w:pPr>
            <w:r>
              <w:rPr/>
              <w:t xml:space="preserve">$ 74,800,000.00 </w:t>
            </w:r>
          </w:p>
        </w:tc>
        <w:tc>
          <w:tcPr>
            <w:tcW w:w="1127" w:type="dxa"/>
            <w:tcBorders/>
            <w:shd w:fill="E7E7E2" w:val="clear"/>
            <w:vAlign w:val="center"/>
          </w:tcPr>
          <w:p>
            <w:pPr>
              <w:pStyle w:val="TableContents"/>
              <w:bidi w:val="0"/>
              <w:spacing w:before="0" w:after="283"/>
              <w:jc w:val="right"/>
              <w:rPr/>
            </w:pPr>
            <w:r>
              <w:rPr/>
              <w:t xml:space="preserve">0.0001381 </w:t>
            </w:r>
          </w:p>
        </w:tc>
        <w:tc>
          <w:tcPr>
            <w:tcW w:w="1432" w:type="dxa"/>
            <w:tcBorders/>
            <w:shd w:fill="E7E7E2" w:val="clear"/>
            <w:vAlign w:val="center"/>
          </w:tcPr>
          <w:p>
            <w:pPr>
              <w:pStyle w:val="TableContents"/>
              <w:bidi w:val="0"/>
              <w:spacing w:before="0" w:after="283"/>
              <w:jc w:val="right"/>
              <w:rPr/>
            </w:pPr>
            <w:r>
              <w:rPr/>
              <w:t xml:space="preserve">$ 10,329.88 </w:t>
            </w:r>
          </w:p>
        </w:tc>
      </w:tr>
      <w:tr>
        <w:trPr/>
        <w:tc>
          <w:tcPr>
            <w:tcW w:w="242" w:type="dxa"/>
            <w:tcBorders/>
            <w:shd w:fill="E7E7E2" w:val="clear"/>
            <w:vAlign w:val="center"/>
          </w:tcPr>
          <w:p>
            <w:pPr>
              <w:pStyle w:val="TableContents"/>
              <w:bidi w:val="0"/>
              <w:spacing w:before="0" w:after="283"/>
              <w:jc w:val="center"/>
              <w:rPr/>
            </w:pPr>
            <w:r>
              <w:rPr/>
              <w:t xml:space="preserve">2 </w:t>
            </w:r>
          </w:p>
        </w:tc>
        <w:tc>
          <w:tcPr>
            <w:tcW w:w="958" w:type="dxa"/>
            <w:tcBorders/>
            <w:shd w:fill="E7E7E2" w:val="clear"/>
            <w:vAlign w:val="center"/>
          </w:tcPr>
          <w:p>
            <w:pPr>
              <w:pStyle w:val="TableContents"/>
              <w:bidi w:val="0"/>
              <w:spacing w:before="0" w:after="283"/>
              <w:jc w:val="left"/>
              <w:rPr/>
            </w:pPr>
            <w:r>
              <w:rPr/>
              <w:t xml:space="preserve">Equity </w:t>
            </w:r>
          </w:p>
        </w:tc>
        <w:tc>
          <w:tcPr>
            <w:tcW w:w="1013" w:type="dxa"/>
            <w:tcBorders/>
            <w:shd w:fill="E7E7E2" w:val="clear"/>
            <w:vAlign w:val="center"/>
          </w:tcPr>
          <w:p>
            <w:pPr>
              <w:pStyle w:val="TableContents"/>
              <w:bidi w:val="0"/>
              <w:spacing w:before="0" w:after="283"/>
              <w:jc w:val="left"/>
              <w:rPr/>
            </w:pPr>
            <w:r>
              <w:rPr/>
              <w:t xml:space="preserve">Common Stock </w:t>
            </w:r>
          </w:p>
        </w:tc>
        <w:tc>
          <w:tcPr>
            <w:tcW w:w="1296" w:type="dxa"/>
            <w:tcBorders/>
            <w:shd w:fill="E7E7E2" w:val="clear"/>
            <w:vAlign w:val="center"/>
          </w:tcPr>
          <w:p>
            <w:pPr>
              <w:pStyle w:val="TableContents"/>
              <w:bidi w:val="0"/>
              <w:spacing w:before="0" w:after="283"/>
              <w:jc w:val="center"/>
              <w:rPr/>
            </w:pPr>
            <w:r>
              <w:rPr/>
              <w:t xml:space="preserve">Other </w:t>
            </w:r>
          </w:p>
        </w:tc>
        <w:tc>
          <w:tcPr>
            <w:tcW w:w="1204" w:type="dxa"/>
            <w:tcBorders/>
            <w:shd w:fill="E7E7E2" w:val="clear"/>
            <w:vAlign w:val="center"/>
          </w:tcPr>
          <w:p>
            <w:pPr>
              <w:pStyle w:val="TableContents"/>
              <w:bidi w:val="0"/>
              <w:spacing w:before="0" w:after="283"/>
              <w:jc w:val="right"/>
              <w:rPr/>
            </w:pPr>
            <w:r>
              <w:rPr/>
              <w:t xml:space="preserve">400,000 </w:t>
            </w:r>
          </w:p>
        </w:tc>
        <w:tc>
          <w:tcPr>
            <w:tcW w:w="1225" w:type="dxa"/>
            <w:tcBorders/>
            <w:shd w:fill="E7E7E2" w:val="clear"/>
            <w:vAlign w:val="center"/>
          </w:tcPr>
          <w:p>
            <w:pPr>
              <w:pStyle w:val="TableContents"/>
              <w:bidi w:val="0"/>
              <w:spacing w:before="0" w:after="283"/>
              <w:jc w:val="right"/>
              <w:rPr/>
            </w:pPr>
            <w:r>
              <w:rPr/>
              <w:t xml:space="preserve">$ 39.73 </w:t>
            </w:r>
          </w:p>
        </w:tc>
        <w:tc>
          <w:tcPr>
            <w:tcW w:w="1708" w:type="dxa"/>
            <w:tcBorders/>
            <w:shd w:fill="E7E7E2" w:val="clear"/>
            <w:vAlign w:val="center"/>
          </w:tcPr>
          <w:p>
            <w:pPr>
              <w:pStyle w:val="TableContents"/>
              <w:bidi w:val="0"/>
              <w:spacing w:before="0" w:after="283"/>
              <w:jc w:val="right"/>
              <w:rPr/>
            </w:pPr>
            <w:r>
              <w:rPr/>
              <w:t xml:space="preserve">$ 15,892,000.00 </w:t>
            </w:r>
          </w:p>
        </w:tc>
        <w:tc>
          <w:tcPr>
            <w:tcW w:w="1127" w:type="dxa"/>
            <w:tcBorders/>
            <w:shd w:fill="E7E7E2" w:val="clear"/>
            <w:vAlign w:val="center"/>
          </w:tcPr>
          <w:p>
            <w:pPr>
              <w:pStyle w:val="TableContents"/>
              <w:bidi w:val="0"/>
              <w:spacing w:before="0" w:after="283"/>
              <w:jc w:val="right"/>
              <w:rPr/>
            </w:pPr>
            <w:r>
              <w:rPr/>
              <w:t xml:space="preserve">0.0001381 </w:t>
            </w:r>
          </w:p>
        </w:tc>
        <w:tc>
          <w:tcPr>
            <w:tcW w:w="1432" w:type="dxa"/>
            <w:tcBorders/>
            <w:shd w:fill="E7E7E2" w:val="clear"/>
            <w:vAlign w:val="center"/>
          </w:tcPr>
          <w:p>
            <w:pPr>
              <w:pStyle w:val="TableContents"/>
              <w:bidi w:val="0"/>
              <w:spacing w:before="0" w:after="283"/>
              <w:jc w:val="right"/>
              <w:rPr/>
            </w:pPr>
            <w:r>
              <w:rPr/>
              <w:t xml:space="preserve">$ 2,194.69 </w:t>
            </w:r>
          </w:p>
        </w:tc>
      </w:tr>
      <w:tr>
        <w:trPr/>
        <w:tc>
          <w:tcPr>
            <w:tcW w:w="4713" w:type="dxa"/>
            <w:gridSpan w:val="5"/>
            <w:tcBorders/>
            <w:vAlign w:val="center"/>
          </w:tcPr>
          <w:p>
            <w:pPr>
              <w:pStyle w:val="TableContents"/>
              <w:bidi w:val="0"/>
              <w:spacing w:before="0" w:after="0"/>
              <w:ind w:left="0" w:right="0" w:hanging="0"/>
              <w:jc w:val="right"/>
              <w:rPr/>
            </w:pPr>
            <w:r>
              <w:rPr/>
              <w:t>Total Offering Amounts:</w:t>
            </w:r>
          </w:p>
        </w:tc>
        <w:tc>
          <w:tcPr>
            <w:tcW w:w="1225"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0"/>
              <w:ind w:left="0" w:right="0" w:hanging="0"/>
              <w:jc w:val="right"/>
              <w:rPr/>
            </w:pPr>
            <w:bookmarkStart w:id="11" w:name="MaxAggtOfferingPrice"/>
            <w:bookmarkEnd w:id="11"/>
            <w:r>
              <w:rPr/>
              <w:t xml:space="preserve">$ 90,692,000.00 </w:t>
            </w:r>
          </w:p>
        </w:tc>
        <w:tc>
          <w:tcPr>
            <w:tcW w:w="1127" w:type="dxa"/>
            <w:tcBorders/>
            <w:vAlign w:val="center"/>
          </w:tcPr>
          <w:p>
            <w:pPr>
              <w:pStyle w:val="TableContents"/>
              <w:bidi w:val="0"/>
              <w:spacing w:before="0" w:after="283"/>
              <w:jc w:val="left"/>
              <w:rPr>
                <w:sz w:val="4"/>
                <w:szCs w:val="4"/>
              </w:rPr>
            </w:pPr>
            <w:r>
              <w:rPr>
                <w:sz w:val="4"/>
                <w:szCs w:val="4"/>
              </w:rPr>
            </w:r>
          </w:p>
        </w:tc>
        <w:tc>
          <w:tcPr>
            <w:tcW w:w="1432"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$ 12,524.57 </w:t>
            </w:r>
          </w:p>
        </w:tc>
      </w:tr>
      <w:tr>
        <w:trPr/>
        <w:tc>
          <w:tcPr>
            <w:tcW w:w="4713" w:type="dxa"/>
            <w:gridSpan w:val="5"/>
            <w:tcBorders/>
            <w:vAlign w:val="center"/>
          </w:tcPr>
          <w:p>
            <w:pPr>
              <w:pStyle w:val="TableContents"/>
              <w:bidi w:val="0"/>
              <w:spacing w:before="0" w:after="0"/>
              <w:ind w:left="0" w:right="0" w:hanging="0"/>
              <w:jc w:val="right"/>
              <w:rPr/>
            </w:pPr>
            <w:r>
              <w:rPr/>
              <w:t xml:space="preserve">Total Fee Offsets: </w:t>
            </w:r>
          </w:p>
        </w:tc>
        <w:tc>
          <w:tcPr>
            <w:tcW w:w="1225"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13" w:type="dxa"/>
            <w:gridSpan w:val="5"/>
            <w:tcBorders/>
            <w:vAlign w:val="center"/>
          </w:tcPr>
          <w:p>
            <w:pPr>
              <w:pStyle w:val="TableContents"/>
              <w:bidi w:val="0"/>
              <w:spacing w:before="0" w:after="0"/>
              <w:ind w:left="0" w:right="0" w:hanging="0"/>
              <w:jc w:val="right"/>
              <w:rPr/>
            </w:pPr>
            <w:r>
              <w:rPr/>
              <w:t xml:space="preserve">Net Fee Due: </w:t>
            </w:r>
          </w:p>
        </w:tc>
        <w:tc>
          <w:tcPr>
            <w:tcW w:w="1225"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0"/>
              <w:ind w:left="0" w:right="0" w:hanging="0"/>
              <w:jc w:val="right"/>
              <w:rPr/>
            </w:pPr>
            <w:bookmarkStart w:id="14" w:name="NetFeeAmt"/>
            <w:bookmarkEnd w:id="14"/>
            <w:r>
              <w:rPr/>
              <w:t xml:space="preserve">$ 12,524.57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7"/>
        <w:gridCol w:w="8709"/>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1. Pursuant to Rule 416(a) under the Securities Act of 1933, as amended (the "Securities Act"), this registration statement on Form S-8 shall also cover any additional shares of the common stock, $0.00015 par value per share (the "Common Stock"), of PDF Solutions, Inc. (the "Registrant") that become issuable under the PDF Solutions, Inc. Eleventh Amended and Restated 2011 Stock Incentive Plan (the "2011 Plan") and the PDF Solutions, Inc. Third Amended and Restated 2021 Employee Stock Purchase Plan (the "ESPP"), by reason of any stock dividend, stock splits, reverse stock splits, recapitalizations, reclassifications, mergers, split-ups, reorganizations, consolidations and other capital adjustments effected without receipt of consideration that increases the number of outstanding shares of Common Stock. 2. Represents 1,600,000 shares of the Registrant's Common Stock authorized for issuance under the 2011 Plan, which was approved by the Registrant's stockholders on June 17, 2025 and June 16, 2026. 3. Estimated in accordance with Rules 457(c) and (h) of the Securities Act, solely for the purpose of calculating the registration fee. The proposed maximum offering price per share is equal to $46.745, which was computed by averaging the high and low prices of a share of the Registrant's Common Stock as reported on the Nasdaq Global Select Market on August 3, 2026.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6" w:type="dxa"/>
            <w:gridSpan w:val="2"/>
            <w:tcBorders/>
            <w:vAlign w:val="center"/>
          </w:tcPr>
          <w:p>
            <w:pPr>
              <w:pStyle w:val="TableContents"/>
              <w:bidi w:val="0"/>
              <w:spacing w:before="0" w:after="283"/>
              <w:jc w:val="left"/>
              <w:rPr/>
            </w:pPr>
            <w:r>
              <w:rPr/>
              <w:t xml:space="preserve">1. See Note 1.1. 2. Represents 400,000 shares of Common Stock authorized for issuance under the ESPP, which was approved by the Registrant's stockholders on June 17, 2025 and June 16, 2026. 3. Estimated in accordance with Rules 457(c) and (h) of the Securities Act, solely for the purpose of calculating the registration fee. The proposed maximum offering price per share is equal to 85% of $46.745, which was computed by averaging the high and low prices of Common Stock as reported on the Nasdaq Global Select Market on August 3, 2026. Pursuant to the ESPP, the purchase price of the shares of Common Stock reserved for issuance thereunder will be 85% of the lower of (a) the fair market value per share of Common Stock on the first day of the offering period and (b) the fair market value per share of Common Stock on the last day of the offering period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1120914/000143774926005366/pdfs20251231d_10k.htm" TargetMode="External"/><Relationship Id="rId3" Type="http://schemas.openxmlformats.org/officeDocument/2006/relationships/hyperlink" Target="http://www.sec.gov/ix?doc=/Archives/edgar/data/1120914/000143774926013857/pdfs20260410_def14a.htm" TargetMode="External"/><Relationship Id="rId4" Type="http://schemas.openxmlformats.org/officeDocument/2006/relationships/hyperlink" Target="http://www.sec.gov/Archives/edgar/data/1120914/000109581100002559/e8-a12g.txt" TargetMode="External"/><Relationship Id="rId5" Type="http://schemas.openxmlformats.org/officeDocument/2006/relationships/hyperlink" Target="http://www.sec.gov/Archives/edgar/data/1120914/000109581101503342/f74321a1e8-a12ga.txt" TargetMode="External"/><Relationship Id="rId6" Type="http://schemas.openxmlformats.org/officeDocument/2006/relationships/hyperlink" Target="http://www.sec.gov/Archives/edgar/data/1120914/000143774926021144/ex_977231.htm" TargetMode="External"/><Relationship Id="rId7" Type="http://schemas.openxmlformats.org/officeDocument/2006/relationships/hyperlink" Target="http://www.sec.gov/Archives/edgar/data/1120914/000143774926021144/ex_977232.htm"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3578</Words>
  <Characters>19251</Characters>
  <CharactersWithSpaces>22824</CharactersWithSpaces>
  <Paragraphs>481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