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 Ye Jane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2858 DE LA CRUZ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PDF SOLUTIONS INC</w:t>
              </w:r>
            </w:hyperlink>
            <w:r>
              <w:rPr/>
              <w:t xml:space="preserve"> [ </w:t>
            </w:r>
            <w:r>
              <w:rPr>
                <w:rFonts w:ascii="Times;serif" w:hAnsi="Times;serif"/>
                <w:color w:val="0000FF"/>
                <w:sz w:val="24"/>
                <w:shd w:fill="FFFFFF" w:val="clear"/>
              </w:rPr>
              <w:t>PDFS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2,689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26,632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(Total RSU) under the Company's Director Compensation Program. RSU shall vest in four (4) equal installments of twenty-five percent (25%) of the Total RSUs, with vesting occurring on the first day of each calendar quarter following the Grant Effective Date until fully vested, subject to the Recipient's continued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Adnan Raza, Attorney-in-Fact for Ye Jane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7921" TargetMode="External"/><Relationship Id="rId5" Type="http://schemas.openxmlformats.org/officeDocument/2006/relationships/hyperlink" Target="http://www.sec.gov/cgi-bin/browse-edgar?action=getcompany&amp;CIK=0001120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3386</Characters>
  <CharactersWithSpaces>3954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