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May 13, 2026</w:t>
      </w:r>
    </w:p>
    <w:p>
      <w:pPr>
        <w:ind w:left="8660"/>
        <w:spacing w:after="0" w:line="237" w:lineRule="auto"/>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786765</wp:posOffset>
            </wp:positionH>
            <wp:positionV relativeFrom="paragraph">
              <wp:posOffset>47625</wp:posOffset>
            </wp:positionV>
            <wp:extent cx="560133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01335" cy="6985"/>
                    </a:xfrm>
                    <a:prstGeom prst="rect">
                      <a:avLst/>
                    </a:prstGeom>
                    <a:noFill/>
                  </pic:spPr>
                </pic:pic>
              </a:graphicData>
            </a:graphic>
          </wp:anchor>
        </w:drawing>
        <w:drawing>
          <wp:anchor simplePos="0" relativeHeight="251657728" behindDoc="1" locked="0" layoutInCell="0" allowOverlap="1">
            <wp:simplePos x="0" y="0"/>
            <wp:positionH relativeFrom="column">
              <wp:posOffset>786765</wp:posOffset>
            </wp:positionH>
            <wp:positionV relativeFrom="paragraph">
              <wp:posOffset>81915</wp:posOffset>
            </wp:positionV>
            <wp:extent cx="56013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01335" cy="6985"/>
                    </a:xfrm>
                    <a:prstGeom prst="rect">
                      <a:avLst/>
                    </a:prstGeom>
                    <a:noFill/>
                  </pic:spPr>
                </pic:pic>
              </a:graphicData>
            </a:graphic>
          </wp:anchor>
        </w:drawing>
      </w:r>
    </w:p>
    <w:p>
      <w:pPr>
        <w:spacing w:after="0" w:line="15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2997200</wp:posOffset>
            </wp:positionH>
            <wp:positionV relativeFrom="paragraph">
              <wp:posOffset>185420</wp:posOffset>
            </wp:positionV>
            <wp:extent cx="11741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2997200</wp:posOffset>
            </wp:positionH>
            <wp:positionV relativeFrom="paragraph">
              <wp:posOffset>192405</wp:posOffset>
            </wp:positionV>
            <wp:extent cx="11741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9"/>
          <w:szCs w:val="29"/>
          <w:b w:val="1"/>
          <w:bCs w:val="1"/>
          <w:color w:val="auto"/>
        </w:rPr>
        <w:t>PDF SOLUTIONS, INC.</w:t>
      </w:r>
    </w:p>
    <w:p>
      <w:pPr>
        <w:spacing w:after="0" w:line="3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2997200</wp:posOffset>
            </wp:positionH>
            <wp:positionV relativeFrom="paragraph">
              <wp:posOffset>170815</wp:posOffset>
            </wp:positionV>
            <wp:extent cx="11741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tbl>
      <w:tblPr>
        <w:tblLayout w:type="fixed"/>
        <w:tblInd w:w="2800" w:type="dxa"/>
        <w:tblCellMar>
          <w:top w:w="0" w:type="dxa"/>
          <w:left w:w="0" w:type="dxa"/>
          <w:bottom w:w="0" w:type="dxa"/>
          <w:right w:w="0" w:type="dxa"/>
        </w:tblCellMar>
      </w:tblPr>
      <w:tr>
        <w:trPr>
          <w:trHeight w:val="138"/>
        </w:trPr>
        <w:tc>
          <w:tcPr>
            <w:tcW w:w="2960" w:type="dxa"/>
            <w:vAlign w:val="bottom"/>
          </w:tcPr>
          <w:p>
            <w:pPr>
              <w:jc w:val="center"/>
              <w:ind w:right="1587"/>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660" w:type="dxa"/>
            <w:vAlign w:val="bottom"/>
          </w:tcPr>
          <w:p>
            <w:pPr>
              <w:jc w:val="center"/>
              <w:ind w:left="1607"/>
              <w:spacing w:after="0"/>
              <w:rPr>
                <w:sz w:val="20"/>
                <w:szCs w:val="20"/>
                <w:color w:val="auto"/>
              </w:rPr>
            </w:pPr>
            <w:r>
              <w:rPr>
                <w:rFonts w:ascii="Times New Roman" w:cs="Times New Roman" w:eastAsia="Times New Roman" w:hAnsi="Times New Roman"/>
                <w:sz w:val="12"/>
                <w:szCs w:val="12"/>
                <w:b w:val="1"/>
                <w:bCs w:val="1"/>
                <w:color w:val="auto"/>
                <w:w w:val="96"/>
              </w:rPr>
              <w:t>25-1701361</w:t>
            </w:r>
          </w:p>
        </w:tc>
      </w:tr>
      <w:tr>
        <w:trPr>
          <w:trHeight w:val="108"/>
        </w:trPr>
        <w:tc>
          <w:tcPr>
            <w:tcW w:w="2960" w:type="dxa"/>
            <w:vAlign w:val="bottom"/>
          </w:tcPr>
          <w:p>
            <w:pPr>
              <w:jc w:val="center"/>
              <w:ind w:right="1567"/>
              <w:spacing w:after="0" w:line="108" w:lineRule="exact"/>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2660" w:type="dxa"/>
            <w:vAlign w:val="bottom"/>
          </w:tcPr>
          <w:p>
            <w:pPr>
              <w:jc w:val="center"/>
              <w:ind w:left="1607"/>
              <w:spacing w:after="0" w:line="108"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2"/>
        </w:trPr>
        <w:tc>
          <w:tcPr>
            <w:tcW w:w="2960" w:type="dxa"/>
            <w:vAlign w:val="bottom"/>
          </w:tcPr>
          <w:p>
            <w:pPr>
              <w:jc w:val="center"/>
              <w:ind w:right="1587"/>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tc>
        <w:tc>
          <w:tcPr>
            <w:tcW w:w="2660" w:type="dxa"/>
            <w:vAlign w:val="bottom"/>
          </w:tcPr>
          <w:p>
            <w:pPr>
              <w:jc w:val="center"/>
              <w:ind w:left="1607"/>
              <w:spacing w:after="0"/>
              <w:rPr>
                <w:sz w:val="20"/>
                <w:szCs w:val="20"/>
                <w:color w:val="auto"/>
              </w:rPr>
            </w:pPr>
            <w:r>
              <w:rPr>
                <w:rFonts w:ascii="Times New Roman" w:cs="Times New Roman" w:eastAsia="Times New Roman" w:hAnsi="Times New Roman"/>
                <w:sz w:val="10"/>
                <w:szCs w:val="10"/>
                <w:b w:val="1"/>
                <w:bCs w:val="1"/>
                <w:color w:val="auto"/>
              </w:rPr>
              <w:t>Identification Number)</w:t>
            </w:r>
          </w:p>
        </w:tc>
      </w:tr>
    </w:tbl>
    <w:p>
      <w:pPr>
        <w:spacing w:after="0" w:line="15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2858 De La Cruz Boulevard</w:t>
      </w:r>
    </w:p>
    <w:p>
      <w:pPr>
        <w:jc w:val="center"/>
        <w:ind w:right="-1140"/>
        <w:spacing w:after="0" w:line="206" w:lineRule="auto"/>
        <w:rPr>
          <w:sz w:val="20"/>
          <w:szCs w:val="20"/>
          <w:color w:val="auto"/>
        </w:rPr>
      </w:pPr>
      <w:r>
        <w:rPr>
          <w:rFonts w:ascii="Times New Roman" w:cs="Times New Roman" w:eastAsia="Times New Roman" w:hAnsi="Times New Roman"/>
          <w:sz w:val="12"/>
          <w:szCs w:val="12"/>
          <w:b w:val="1"/>
          <w:bCs w:val="1"/>
          <w:color w:val="auto"/>
        </w:rPr>
        <w:t>Santa Clara, California 95050</w:t>
      </w:r>
    </w:p>
    <w:p>
      <w:pPr>
        <w:jc w:val="center"/>
        <w:ind w:right="-1140"/>
        <w:spacing w:after="0" w:line="211" w:lineRule="auto"/>
        <w:rPr>
          <w:sz w:val="20"/>
          <w:szCs w:val="20"/>
          <w:color w:val="auto"/>
        </w:rPr>
      </w:pPr>
      <w:r>
        <w:rPr>
          <w:rFonts w:ascii="Times New Roman" w:cs="Times New Roman" w:eastAsia="Times New Roman" w:hAnsi="Times New Roman"/>
          <w:sz w:val="12"/>
          <w:szCs w:val="12"/>
          <w:b w:val="1"/>
          <w:bCs w:val="1"/>
          <w:color w:val="auto"/>
        </w:rPr>
        <w:t>(408) 280-7900</w:t>
      </w:r>
    </w:p>
    <w:p>
      <w:pPr>
        <w:ind w:left="318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2997200</wp:posOffset>
            </wp:positionH>
            <wp:positionV relativeFrom="paragraph">
              <wp:posOffset>176530</wp:posOffset>
            </wp:positionV>
            <wp:extent cx="11741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John K. Kibarian, Ph.D.</w:t>
      </w:r>
    </w:p>
    <w:p>
      <w:pPr>
        <w:jc w:val="center"/>
        <w:ind w:right="-1140"/>
        <w:spacing w:after="0" w:line="206" w:lineRule="auto"/>
        <w:rPr>
          <w:sz w:val="20"/>
          <w:szCs w:val="20"/>
          <w:color w:val="auto"/>
        </w:rPr>
      </w:pPr>
      <w:r>
        <w:rPr>
          <w:rFonts w:ascii="Times New Roman" w:cs="Times New Roman" w:eastAsia="Times New Roman" w:hAnsi="Times New Roman"/>
          <w:sz w:val="12"/>
          <w:szCs w:val="12"/>
          <w:b w:val="1"/>
          <w:bCs w:val="1"/>
          <w:color w:val="auto"/>
        </w:rPr>
        <w:t>2858 De La Cruz Boulevard</w:t>
      </w:r>
    </w:p>
    <w:p>
      <w:pPr>
        <w:jc w:val="center"/>
        <w:ind w:right="-1140"/>
        <w:spacing w:after="0" w:line="207" w:lineRule="auto"/>
        <w:rPr>
          <w:sz w:val="20"/>
          <w:szCs w:val="20"/>
          <w:color w:val="auto"/>
        </w:rPr>
      </w:pPr>
      <w:r>
        <w:rPr>
          <w:rFonts w:ascii="Times New Roman" w:cs="Times New Roman" w:eastAsia="Times New Roman" w:hAnsi="Times New Roman"/>
          <w:sz w:val="12"/>
          <w:szCs w:val="12"/>
          <w:b w:val="1"/>
          <w:bCs w:val="1"/>
          <w:color w:val="auto"/>
        </w:rPr>
        <w:t>Santa Clara, California 95050</w:t>
      </w:r>
    </w:p>
    <w:p>
      <w:pPr>
        <w:jc w:val="center"/>
        <w:ind w:right="-1140"/>
        <w:spacing w:after="0" w:line="210" w:lineRule="auto"/>
        <w:rPr>
          <w:sz w:val="20"/>
          <w:szCs w:val="20"/>
          <w:color w:val="auto"/>
        </w:rPr>
      </w:pPr>
      <w:r>
        <w:rPr>
          <w:rFonts w:ascii="Times New Roman" w:cs="Times New Roman" w:eastAsia="Times New Roman" w:hAnsi="Times New Roman"/>
          <w:sz w:val="12"/>
          <w:szCs w:val="12"/>
          <w:b w:val="1"/>
          <w:bCs w:val="1"/>
          <w:color w:val="auto"/>
        </w:rPr>
        <w:t>(408) 280-7900</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2997200</wp:posOffset>
            </wp:positionH>
            <wp:positionV relativeFrom="paragraph">
              <wp:posOffset>176530</wp:posOffset>
            </wp:positionV>
            <wp:extent cx="11741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p>
      <w:pPr>
        <w:spacing w:after="0" w:line="6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Kathleen M. Wells</w:t>
      </w:r>
    </w:p>
    <w:p>
      <w:pPr>
        <w:jc w:val="center"/>
        <w:ind w:right="-1140"/>
        <w:spacing w:after="0" w:line="206" w:lineRule="auto"/>
        <w:rPr>
          <w:sz w:val="20"/>
          <w:szCs w:val="20"/>
          <w:color w:val="auto"/>
        </w:rPr>
      </w:pPr>
      <w:r>
        <w:rPr>
          <w:rFonts w:ascii="Times New Roman" w:cs="Times New Roman" w:eastAsia="Times New Roman" w:hAnsi="Times New Roman"/>
          <w:sz w:val="12"/>
          <w:szCs w:val="12"/>
          <w:b w:val="1"/>
          <w:bCs w:val="1"/>
          <w:color w:val="auto"/>
        </w:rPr>
        <w:t>John C. Williams</w:t>
      </w:r>
    </w:p>
    <w:p>
      <w:pPr>
        <w:jc w:val="center"/>
        <w:ind w:right="-1140"/>
        <w:spacing w:after="0" w:line="207" w:lineRule="auto"/>
        <w:rPr>
          <w:sz w:val="20"/>
          <w:szCs w:val="20"/>
          <w:color w:val="auto"/>
        </w:rPr>
      </w:pPr>
      <w:r>
        <w:rPr>
          <w:rFonts w:ascii="Times New Roman" w:cs="Times New Roman" w:eastAsia="Times New Roman" w:hAnsi="Times New Roman"/>
          <w:sz w:val="12"/>
          <w:szCs w:val="12"/>
          <w:b w:val="1"/>
          <w:bCs w:val="1"/>
          <w:color w:val="auto"/>
        </w:rPr>
        <w:t>Latham &amp; Watkins LLP</w:t>
      </w:r>
    </w:p>
    <w:p>
      <w:pPr>
        <w:jc w:val="center"/>
        <w:ind w:right="-1140"/>
        <w:spacing w:after="0" w:line="207" w:lineRule="auto"/>
        <w:rPr>
          <w:sz w:val="20"/>
          <w:szCs w:val="20"/>
          <w:color w:val="auto"/>
        </w:rPr>
      </w:pPr>
      <w:r>
        <w:rPr>
          <w:rFonts w:ascii="Times New Roman" w:cs="Times New Roman" w:eastAsia="Times New Roman" w:hAnsi="Times New Roman"/>
          <w:sz w:val="12"/>
          <w:szCs w:val="12"/>
          <w:b w:val="1"/>
          <w:bCs w:val="1"/>
          <w:color w:val="auto"/>
        </w:rPr>
        <w:t>801 Jefferson Avenue, Suite 300</w:t>
      </w:r>
    </w:p>
    <w:p>
      <w:pPr>
        <w:jc w:val="center"/>
        <w:ind w:right="-1140"/>
        <w:spacing w:after="0" w:line="207" w:lineRule="auto"/>
        <w:rPr>
          <w:sz w:val="20"/>
          <w:szCs w:val="20"/>
          <w:color w:val="auto"/>
        </w:rPr>
      </w:pPr>
      <w:r>
        <w:rPr>
          <w:rFonts w:ascii="Times New Roman" w:cs="Times New Roman" w:eastAsia="Times New Roman" w:hAnsi="Times New Roman"/>
          <w:sz w:val="12"/>
          <w:szCs w:val="12"/>
          <w:b w:val="1"/>
          <w:bCs w:val="1"/>
          <w:color w:val="auto"/>
        </w:rPr>
        <w:t>Redwood City, California 94063</w:t>
      </w:r>
    </w:p>
    <w:p>
      <w:pPr>
        <w:jc w:val="center"/>
        <w:ind w:right="-1140"/>
        <w:spacing w:after="0" w:line="237" w:lineRule="auto"/>
        <w:rPr>
          <w:sz w:val="20"/>
          <w:szCs w:val="20"/>
          <w:color w:val="auto"/>
        </w:rPr>
      </w:pPr>
      <w:r>
        <w:rPr>
          <w:rFonts w:ascii="Times New Roman" w:cs="Times New Roman" w:eastAsia="Times New Roman" w:hAnsi="Times New Roman"/>
          <w:sz w:val="12"/>
          <w:szCs w:val="12"/>
          <w:b w:val="1"/>
          <w:bCs w:val="1"/>
          <w:color w:val="auto"/>
        </w:rPr>
        <w:t>(650) 328-4600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2997200</wp:posOffset>
            </wp:positionH>
            <wp:positionV relativeFrom="paragraph">
              <wp:posOffset>177800</wp:posOffset>
            </wp:positionV>
            <wp:extent cx="11741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w:t>
      </w:r>
    </w:p>
    <w:p>
      <w:pPr>
        <w:spacing w:after="0" w:line="140" w:lineRule="exact"/>
        <w:rPr>
          <w:sz w:val="24"/>
          <w:szCs w:val="24"/>
          <w:color w:val="auto"/>
        </w:rPr>
      </w:pPr>
    </w:p>
    <w:p>
      <w:pPr>
        <w:ind w:left="124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191" w:lineRule="exact"/>
        <w:rPr>
          <w:sz w:val="24"/>
          <w:szCs w:val="24"/>
          <w:color w:val="auto"/>
        </w:rPr>
      </w:pPr>
    </w:p>
    <w:p>
      <w:pPr>
        <w:ind w:left="1240" w:right="339"/>
        <w:spacing w:after="0" w:line="148"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37" w:lineRule="exact"/>
        <w:rPr>
          <w:sz w:val="24"/>
          <w:szCs w:val="24"/>
          <w:color w:val="auto"/>
        </w:rPr>
      </w:pPr>
    </w:p>
    <w:p>
      <w:pPr>
        <w:ind w:left="1240" w:right="359"/>
        <w:spacing w:after="0" w:line="148"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37" w:lineRule="exact"/>
        <w:rPr>
          <w:sz w:val="24"/>
          <w:szCs w:val="24"/>
          <w:color w:val="auto"/>
        </w:rPr>
      </w:pPr>
    </w:p>
    <w:p>
      <w:pPr>
        <w:ind w:left="1240" w:right="379"/>
        <w:spacing w:after="0" w:line="148"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37" w:lineRule="exact"/>
        <w:rPr>
          <w:sz w:val="24"/>
          <w:szCs w:val="24"/>
          <w:color w:val="auto"/>
        </w:rPr>
      </w:pPr>
    </w:p>
    <w:p>
      <w:pPr>
        <w:ind w:left="1240" w:right="219"/>
        <w:spacing w:after="0" w:line="148"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2"/>
          <w:szCs w:val="12"/>
          <w:color w:val="auto"/>
        </w:rPr>
        <w:t>☒</w:t>
      </w:r>
    </w:p>
    <w:p>
      <w:pPr>
        <w:spacing w:after="0" w:line="137" w:lineRule="exact"/>
        <w:rPr>
          <w:sz w:val="24"/>
          <w:szCs w:val="24"/>
          <w:color w:val="auto"/>
        </w:rPr>
      </w:pPr>
    </w:p>
    <w:p>
      <w:pPr>
        <w:ind w:left="1240" w:right="159"/>
        <w:spacing w:after="0" w:line="148"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37" w:lineRule="exact"/>
        <w:rPr>
          <w:sz w:val="24"/>
          <w:szCs w:val="24"/>
          <w:color w:val="auto"/>
        </w:rPr>
      </w:pPr>
    </w:p>
    <w:p>
      <w:pPr>
        <w:ind w:left="1240" w:right="279"/>
        <w:spacing w:after="0" w:line="23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1240" w:type="dxa"/>
        <w:tblCellMar>
          <w:top w:w="0" w:type="dxa"/>
          <w:left w:w="0" w:type="dxa"/>
          <w:bottom w:w="0" w:type="dxa"/>
          <w:right w:w="0" w:type="dxa"/>
        </w:tblCellMar>
      </w:tblPr>
      <w:tr>
        <w:trPr>
          <w:trHeight w:val="19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8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4160" w:type="dxa"/>
            <w:vAlign w:val="bottom"/>
          </w:tcPr>
          <w:p>
            <w:pPr>
              <w:ind w:left="2640"/>
              <w:spacing w:after="0"/>
              <w:rPr>
                <w:sz w:val="20"/>
                <w:szCs w:val="20"/>
                <w:color w:val="auto"/>
              </w:rPr>
            </w:pPr>
            <w:r>
              <w:rPr>
                <w:rFonts w:ascii="Times New Roman" w:cs="Times New Roman" w:eastAsia="Times New Roman" w:hAnsi="Times New Roman"/>
                <w:sz w:val="12"/>
                <w:szCs w:val="12"/>
                <w:color w:val="auto"/>
              </w:rPr>
              <w:t>Accelerated filer</w:t>
            </w:r>
          </w:p>
        </w:tc>
        <w:tc>
          <w:tcPr>
            <w:tcW w:w="340" w:type="dxa"/>
            <w:vAlign w:val="bottom"/>
          </w:tcPr>
          <w:p>
            <w:pPr>
              <w:ind w:left="2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27"/>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8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4160" w:type="dxa"/>
            <w:vAlign w:val="bottom"/>
          </w:tcPr>
          <w:p>
            <w:pPr>
              <w:ind w:left="26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40" w:type="dxa"/>
            <w:vAlign w:val="bottom"/>
          </w:tcPr>
          <w:p>
            <w:pPr>
              <w:ind w:left="2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27"/>
        </w:trPr>
        <w:tc>
          <w:tcPr>
            <w:tcW w:w="12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160" w:type="dxa"/>
            <w:vAlign w:val="bottom"/>
          </w:tcPr>
          <w:p>
            <w:pPr>
              <w:ind w:left="2640"/>
              <w:spacing w:after="0"/>
              <w:rPr>
                <w:sz w:val="20"/>
                <w:szCs w:val="20"/>
                <w:color w:val="auto"/>
              </w:rPr>
            </w:pPr>
            <w:r>
              <w:rPr>
                <w:rFonts w:ascii="Times New Roman" w:cs="Times New Roman" w:eastAsia="Times New Roman" w:hAnsi="Times New Roman"/>
                <w:sz w:val="12"/>
                <w:szCs w:val="12"/>
                <w:color w:val="auto"/>
              </w:rPr>
              <w:t>Emerging growth company</w:t>
            </w:r>
          </w:p>
        </w:tc>
        <w:tc>
          <w:tcPr>
            <w:tcW w:w="340" w:type="dxa"/>
            <w:vAlign w:val="bottom"/>
          </w:tcPr>
          <w:p>
            <w:pPr>
              <w:ind w:left="2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36" w:lineRule="exact"/>
        <w:rPr>
          <w:sz w:val="24"/>
          <w:szCs w:val="24"/>
          <w:color w:val="auto"/>
        </w:rPr>
      </w:pPr>
    </w:p>
    <w:p>
      <w:pPr>
        <w:ind w:left="1240" w:right="379"/>
        <w:spacing w:after="0" w:line="14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786765</wp:posOffset>
            </wp:positionH>
            <wp:positionV relativeFrom="paragraph">
              <wp:posOffset>104775</wp:posOffset>
            </wp:positionV>
            <wp:extent cx="56013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1335" cy="6985"/>
                    </a:xfrm>
                    <a:prstGeom prst="rect">
                      <a:avLst/>
                    </a:prstGeom>
                    <a:noFill/>
                  </pic:spPr>
                </pic:pic>
              </a:graphicData>
            </a:graphic>
          </wp:anchor>
        </w:drawing>
        <w:drawing>
          <wp:anchor simplePos="0" relativeHeight="251657728" behindDoc="1" locked="0" layoutInCell="0" allowOverlap="1">
            <wp:simplePos x="0" y="0"/>
            <wp:positionH relativeFrom="column">
              <wp:posOffset>786765</wp:posOffset>
            </wp:positionH>
            <wp:positionV relativeFrom="paragraph">
              <wp:posOffset>139065</wp:posOffset>
            </wp:positionV>
            <wp:extent cx="560133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1335" cy="6985"/>
                    </a:xfrm>
                    <a:prstGeom prst="rect">
                      <a:avLst/>
                    </a:prstGeom>
                    <a:noFill/>
                  </pic:spPr>
                </pic:pic>
              </a:graphicData>
            </a:graphic>
          </wp:anchor>
        </w:drawing>
      </w:r>
    </w:p>
    <w:p>
      <w:pPr>
        <w:sectPr>
          <w:pgSz w:w="11900" w:h="16838" w:orient="portrait"/>
          <w:cols w:equalWidth="0" w:num="1">
            <w:col w:w="10159"/>
          </w:cols>
          <w:pgMar w:left="300" w:top="2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141605</wp:posOffset>
            </wp:positionV>
            <wp:extent cx="2635885" cy="363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5885" cy="36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PDF SOLUTIONS, INC.</w:t>
      </w:r>
    </w:p>
    <w:p>
      <w:pPr>
        <w:spacing w:after="0" w:line="18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197485</wp:posOffset>
            </wp:positionV>
            <wp:extent cx="11741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240" w:right="139" w:firstLine="353"/>
        <w:spacing w:after="0" w:line="278" w:lineRule="auto"/>
        <w:rPr>
          <w:sz w:val="20"/>
          <w:szCs w:val="20"/>
          <w:color w:val="auto"/>
        </w:rPr>
      </w:pPr>
      <w:r>
        <w:rPr>
          <w:rFonts w:ascii="Times New Roman" w:cs="Times New Roman" w:eastAsia="Times New Roman" w:hAnsi="Times New Roman"/>
          <w:sz w:val="14"/>
          <w:szCs w:val="14"/>
          <w:color w:val="auto"/>
        </w:rPr>
        <w:t>We may offer and sell, and the selling securityholders may offer and sell, shares of common stock, in each case from time to time in one or more offerings. This prospectus provides you with a general description of the securities. We will not receive any proceeds from the sale of our common stock by the selling securityholders.</w:t>
      </w:r>
    </w:p>
    <w:p>
      <w:pPr>
        <w:spacing w:after="0" w:line="132" w:lineRule="exact"/>
        <w:rPr>
          <w:sz w:val="20"/>
          <w:szCs w:val="20"/>
          <w:color w:val="auto"/>
        </w:rPr>
      </w:pPr>
    </w:p>
    <w:p>
      <w:pPr>
        <w:ind w:left="1240" w:right="339" w:firstLine="353"/>
        <w:spacing w:after="0" w:line="271" w:lineRule="auto"/>
        <w:rPr>
          <w:sz w:val="20"/>
          <w:szCs w:val="20"/>
          <w:color w:val="auto"/>
        </w:rPr>
      </w:pPr>
      <w:r>
        <w:rPr>
          <w:rFonts w:ascii="Times New Roman" w:cs="Times New Roman" w:eastAsia="Times New Roman" w:hAnsi="Times New Roman"/>
          <w:sz w:val="14"/>
          <w:szCs w:val="14"/>
          <w:color w:val="auto"/>
        </w:rPr>
        <w:t>Each time we or any of the selling securityholders offer and sell securities, we or such selling securityholders will provide a supplement to this prospectus, to the extent necessary,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38" w:lineRule="exact"/>
        <w:rPr>
          <w:sz w:val="20"/>
          <w:szCs w:val="20"/>
          <w:color w:val="auto"/>
        </w:rPr>
      </w:pPr>
    </w:p>
    <w:p>
      <w:pPr>
        <w:ind w:left="1240" w:right="159" w:firstLine="353"/>
        <w:spacing w:after="0" w:line="264"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shares of our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169545</wp:posOffset>
            </wp:positionV>
            <wp:extent cx="11741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240" w:right="359" w:firstLine="353"/>
        <w:spacing w:after="0" w:line="252"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6 OF THIS PROSPECTUS AND ANY SIMILAR SECTION CONTAINED IN THE APPLICABLE PROSPECTUS SUPPLEMENT CONCERNING FACTORS YOU SHOULD CONSIDER BEFORE INVESTING IN OUR SECURITIES.</w:t>
      </w:r>
    </w:p>
    <w:p>
      <w:pPr>
        <w:spacing w:after="0" w:line="140" w:lineRule="exact"/>
        <w:rPr>
          <w:sz w:val="20"/>
          <w:szCs w:val="20"/>
          <w:color w:val="auto"/>
        </w:rPr>
      </w:pPr>
    </w:p>
    <w:p>
      <w:pPr>
        <w:ind w:left="1240" w:right="259" w:firstLine="353"/>
        <w:spacing w:after="0" w:line="298"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“PDFS.” On May 12, 2026, the last reported sale price of our common stock on the Nasdaq Global Select Market was $50.95 per share.</w:t>
      </w:r>
    </w:p>
    <w:p>
      <w:pPr>
        <w:spacing w:after="0" w:line="117" w:lineRule="exact"/>
        <w:rPr>
          <w:sz w:val="20"/>
          <w:szCs w:val="20"/>
          <w:color w:val="auto"/>
        </w:rPr>
      </w:pPr>
    </w:p>
    <w:p>
      <w:pPr>
        <w:ind w:left="1240" w:right="219" w:firstLine="353"/>
        <w:spacing w:after="0" w:line="30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159385</wp:posOffset>
            </wp:positionV>
            <wp:extent cx="11741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115" cy="6985"/>
                    </a:xfrm>
                    <a:prstGeom prst="rect">
                      <a:avLst/>
                    </a:prstGeom>
                    <a:noFill/>
                  </pic:spPr>
                </pic:pic>
              </a:graphicData>
            </a:graphic>
          </wp:anchor>
        </w:drawing>
      </w:r>
    </w:p>
    <w:p>
      <w:pPr>
        <w:spacing w:after="0" w:line="39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The date of this prospectus is May 13, 2026.</w:t>
      </w:r>
    </w:p>
    <w:p>
      <w:pPr>
        <w:sectPr>
          <w:pgSz w:w="11900" w:h="16838" w:orient="portrait"/>
          <w:cols w:equalWidth="0" w:num="1">
            <w:col w:w="10159"/>
          </w:cols>
          <w:pgMar w:left="300" w:top="39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400" w:type="dxa"/>
            <w:vAlign w:val="bottom"/>
          </w:tcPr>
          <w:p>
            <w:pPr>
              <w:spacing w:after="0"/>
              <w:rPr>
                <w:sz w:val="16"/>
                <w:szCs w:val="16"/>
                <w:color w:val="auto"/>
              </w:rPr>
            </w:pPr>
          </w:p>
        </w:tc>
      </w:tr>
      <w:tr>
        <w:trPr>
          <w:trHeight w:val="334"/>
        </w:trPr>
        <w:tc>
          <w:tcPr>
            <w:tcW w:w="1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3600" w:type="dxa"/>
            <w:vAlign w:val="bottom"/>
            <w:gridSpan w:val="4"/>
          </w:tcPr>
          <w:p>
            <w:pPr>
              <w:spacing w:after="0"/>
              <w:rPr>
                <w:sz w:val="24"/>
                <w:szCs w:val="24"/>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53"/>
        </w:trPr>
        <w:tc>
          <w:tcPr>
            <w:tcW w:w="5380" w:type="dxa"/>
            <w:vAlign w:val="bottom"/>
            <w:gridSpan w:val="11"/>
          </w:tcPr>
          <w:p>
            <w:pPr>
              <w:spacing w:after="0" w:line="153"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53"/>
        </w:trPr>
        <w:tc>
          <w:tcPr>
            <w:tcW w:w="5380" w:type="dxa"/>
            <w:vAlign w:val="bottom"/>
            <w:tcBorders>
              <w:bottom w:val="single" w:sz="8" w:color="0000EE"/>
            </w:tcBorders>
            <w:gridSpan w:val="11"/>
          </w:tcPr>
          <w:p>
            <w:pPr>
              <w:spacing w:after="0" w:line="153" w:lineRule="exact"/>
              <w:rPr>
                <w:sz w:val="20"/>
                <w:szCs w:val="20"/>
                <w:color w:val="auto"/>
              </w:rPr>
            </w:pPr>
            <w:r>
              <w:rPr>
                <w:rFonts w:ascii="Times New Roman" w:cs="Times New Roman" w:eastAsia="Times New Roman" w:hAnsi="Times New Roman"/>
                <w:sz w:val="14"/>
                <w:szCs w:val="14"/>
                <w:color w:val="0000EE"/>
              </w:rPr>
              <w:t>WHERE YOU CAN FIND MORE INFORMATION; INCORPORATION BY REFERENCE</w:t>
            </w: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w:t>
            </w:r>
          </w:p>
        </w:tc>
      </w:tr>
      <w:tr>
        <w:trPr>
          <w:trHeight w:val="153"/>
        </w:trPr>
        <w:tc>
          <w:tcPr>
            <w:tcW w:w="1020" w:type="dxa"/>
            <w:vAlign w:val="bottom"/>
            <w:tcBorders>
              <w:bottom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4"/>
                <w:szCs w:val="14"/>
                <w:color w:val="0000EE"/>
                <w:w w:val="99"/>
              </w:rPr>
              <w:t>THE COMPANY</w:t>
            </w:r>
          </w:p>
        </w:tc>
        <w:tc>
          <w:tcPr>
            <w:tcW w:w="4360" w:type="dxa"/>
            <w:vAlign w:val="bottom"/>
            <w:gridSpan w:val="8"/>
          </w:tcPr>
          <w:p>
            <w:pPr>
              <w:spacing w:after="0"/>
              <w:rPr>
                <w:sz w:val="13"/>
                <w:szCs w:val="13"/>
                <w:color w:val="auto"/>
              </w:rPr>
            </w:pP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w:t>
            </w:r>
          </w:p>
        </w:tc>
      </w:tr>
      <w:tr>
        <w:trPr>
          <w:trHeight w:val="153"/>
        </w:trPr>
        <w:tc>
          <w:tcPr>
            <w:tcW w:w="1000" w:type="dxa"/>
            <w:vAlign w:val="bottom"/>
            <w:tcBorders>
              <w:bottom w:val="single" w:sz="8" w:color="0000EE"/>
            </w:tcBorders>
            <w:gridSpan w:val="2"/>
          </w:tcPr>
          <w:p>
            <w:pPr>
              <w:spacing w:after="0" w:line="153" w:lineRule="exact"/>
              <w:rPr>
                <w:sz w:val="20"/>
                <w:szCs w:val="20"/>
                <w:color w:val="auto"/>
              </w:rPr>
            </w:pPr>
            <w:r>
              <w:rPr>
                <w:rFonts w:ascii="Times New Roman" w:cs="Times New Roman" w:eastAsia="Times New Roman" w:hAnsi="Times New Roman"/>
                <w:sz w:val="14"/>
                <w:szCs w:val="14"/>
                <w:color w:val="0000EE"/>
                <w:w w:val="99"/>
              </w:rPr>
              <w:t>RISK FACTORS</w:t>
            </w:r>
          </w:p>
        </w:tc>
        <w:tc>
          <w:tcPr>
            <w:tcW w:w="4380" w:type="dxa"/>
            <w:vAlign w:val="bottom"/>
            <w:gridSpan w:val="9"/>
          </w:tcPr>
          <w:p>
            <w:pPr>
              <w:spacing w:after="0"/>
              <w:rPr>
                <w:sz w:val="13"/>
                <w:szCs w:val="13"/>
                <w:color w:val="auto"/>
              </w:rPr>
            </w:pP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w:t>
            </w:r>
          </w:p>
        </w:tc>
      </w:tr>
      <w:tr>
        <w:trPr>
          <w:trHeight w:val="153"/>
        </w:trPr>
        <w:tc>
          <w:tcPr>
            <w:tcW w:w="1260" w:type="dxa"/>
            <w:vAlign w:val="bottom"/>
            <w:tcBorders>
              <w:bottom w:val="single" w:sz="8" w:color="0000EE"/>
            </w:tcBorders>
            <w:gridSpan w:val="5"/>
          </w:tcPr>
          <w:p>
            <w:pPr>
              <w:spacing w:after="0" w:line="153" w:lineRule="exact"/>
              <w:rPr>
                <w:sz w:val="20"/>
                <w:szCs w:val="20"/>
                <w:color w:val="auto"/>
              </w:rPr>
            </w:pPr>
            <w:r>
              <w:rPr>
                <w:rFonts w:ascii="Times New Roman" w:cs="Times New Roman" w:eastAsia="Times New Roman" w:hAnsi="Times New Roman"/>
                <w:sz w:val="14"/>
                <w:szCs w:val="14"/>
                <w:color w:val="0000EE"/>
              </w:rPr>
              <w:t>USE OF PROCEEDS</w:t>
            </w:r>
          </w:p>
        </w:tc>
        <w:tc>
          <w:tcPr>
            <w:tcW w:w="4120" w:type="dxa"/>
            <w:vAlign w:val="bottom"/>
            <w:gridSpan w:val="6"/>
          </w:tcPr>
          <w:p>
            <w:pPr>
              <w:spacing w:after="0"/>
              <w:rPr>
                <w:sz w:val="13"/>
                <w:szCs w:val="13"/>
                <w:color w:val="auto"/>
              </w:rPr>
            </w:pP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w:t>
            </w:r>
          </w:p>
        </w:tc>
      </w:tr>
      <w:tr>
        <w:trPr>
          <w:trHeight w:val="153"/>
        </w:trPr>
        <w:tc>
          <w:tcPr>
            <w:tcW w:w="5380" w:type="dxa"/>
            <w:vAlign w:val="bottom"/>
            <w:gridSpan w:val="11"/>
          </w:tcPr>
          <w:p>
            <w:pPr>
              <w:spacing w:after="0" w:line="153"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w:t>
            </w:r>
          </w:p>
        </w:tc>
      </w:tr>
      <w:tr>
        <w:trPr>
          <w:trHeight w:val="153"/>
        </w:trPr>
        <w:tc>
          <w:tcPr>
            <w:tcW w:w="2000" w:type="dxa"/>
            <w:vAlign w:val="bottom"/>
            <w:tcBorders>
              <w:top w:val="single" w:sz="8" w:color="0000EE"/>
              <w:bottom w:val="single" w:sz="8" w:color="0000EE"/>
            </w:tcBorders>
            <w:gridSpan w:val="8"/>
          </w:tcPr>
          <w:p>
            <w:pPr>
              <w:spacing w:after="0" w:line="153" w:lineRule="exact"/>
              <w:rPr>
                <w:sz w:val="20"/>
                <w:szCs w:val="20"/>
                <w:color w:val="auto"/>
              </w:rPr>
            </w:pPr>
            <w:r>
              <w:rPr>
                <w:rFonts w:ascii="Times New Roman" w:cs="Times New Roman" w:eastAsia="Times New Roman" w:hAnsi="Times New Roman"/>
                <w:sz w:val="14"/>
                <w:szCs w:val="14"/>
                <w:color w:val="0000EE"/>
              </w:rPr>
              <w:t>SELLING SECURITYHOLDERS</w:t>
            </w:r>
          </w:p>
        </w:tc>
        <w:tc>
          <w:tcPr>
            <w:tcW w:w="280" w:type="dxa"/>
            <w:vAlign w:val="bottom"/>
            <w:tcBorders>
              <w:top w:val="single" w:sz="8" w:color="0000EE"/>
            </w:tcBorders>
          </w:tcPr>
          <w:p>
            <w:pPr>
              <w:spacing w:after="0"/>
              <w:rPr>
                <w:sz w:val="13"/>
                <w:szCs w:val="13"/>
                <w:color w:val="auto"/>
              </w:rPr>
            </w:pPr>
          </w:p>
        </w:tc>
        <w:tc>
          <w:tcPr>
            <w:tcW w:w="3100" w:type="dxa"/>
            <w:vAlign w:val="bottom"/>
            <w:gridSpan w:val="2"/>
          </w:tcPr>
          <w:p>
            <w:pPr>
              <w:spacing w:after="0"/>
              <w:rPr>
                <w:sz w:val="13"/>
                <w:szCs w:val="13"/>
                <w:color w:val="auto"/>
              </w:rPr>
            </w:pP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12</w:t>
            </w:r>
          </w:p>
        </w:tc>
      </w:tr>
      <w:tr>
        <w:trPr>
          <w:trHeight w:val="153"/>
        </w:trPr>
        <w:tc>
          <w:tcPr>
            <w:tcW w:w="1640" w:type="dxa"/>
            <w:vAlign w:val="bottom"/>
            <w:tcBorders>
              <w:bottom w:val="single" w:sz="8" w:color="0000EE"/>
            </w:tcBorders>
            <w:gridSpan w:val="6"/>
          </w:tcPr>
          <w:p>
            <w:pPr>
              <w:spacing w:after="0" w:line="153" w:lineRule="exact"/>
              <w:rPr>
                <w:sz w:val="20"/>
                <w:szCs w:val="20"/>
                <w:color w:val="auto"/>
              </w:rPr>
            </w:pPr>
            <w:r>
              <w:rPr>
                <w:rFonts w:ascii="Times New Roman" w:cs="Times New Roman" w:eastAsia="Times New Roman" w:hAnsi="Times New Roman"/>
                <w:sz w:val="14"/>
                <w:szCs w:val="14"/>
                <w:color w:val="0000EE"/>
              </w:rPr>
              <w:t>PLAN OF DISTRIBUTION</w:t>
            </w:r>
          </w:p>
        </w:tc>
        <w:tc>
          <w:tcPr>
            <w:tcW w:w="3740" w:type="dxa"/>
            <w:vAlign w:val="bottom"/>
            <w:gridSpan w:val="5"/>
          </w:tcPr>
          <w:p>
            <w:pPr>
              <w:spacing w:after="0"/>
              <w:rPr>
                <w:sz w:val="13"/>
                <w:szCs w:val="13"/>
                <w:color w:val="auto"/>
              </w:rPr>
            </w:pP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w:t>
            </w:r>
          </w:p>
        </w:tc>
      </w:tr>
      <w:tr>
        <w:trPr>
          <w:trHeight w:val="153"/>
        </w:trPr>
        <w:tc>
          <w:tcPr>
            <w:tcW w:w="1160" w:type="dxa"/>
            <w:vAlign w:val="bottom"/>
            <w:tcBorders>
              <w:bottom w:val="single" w:sz="8" w:color="0000EE"/>
            </w:tcBorders>
            <w:gridSpan w:val="4"/>
          </w:tcPr>
          <w:p>
            <w:pPr>
              <w:spacing w:after="0" w:line="153" w:lineRule="exact"/>
              <w:rPr>
                <w:sz w:val="20"/>
                <w:szCs w:val="20"/>
                <w:color w:val="auto"/>
              </w:rPr>
            </w:pPr>
            <w:r>
              <w:rPr>
                <w:rFonts w:ascii="Times New Roman" w:cs="Times New Roman" w:eastAsia="Times New Roman" w:hAnsi="Times New Roman"/>
                <w:sz w:val="14"/>
                <w:szCs w:val="14"/>
                <w:color w:val="0000EE"/>
                <w:w w:val="99"/>
              </w:rPr>
              <w:t>LEGAL MATTERS</w:t>
            </w:r>
          </w:p>
        </w:tc>
        <w:tc>
          <w:tcPr>
            <w:tcW w:w="4220" w:type="dxa"/>
            <w:vAlign w:val="bottom"/>
            <w:gridSpan w:val="7"/>
          </w:tcPr>
          <w:p>
            <w:pPr>
              <w:spacing w:after="0"/>
              <w:rPr>
                <w:sz w:val="13"/>
                <w:szCs w:val="13"/>
                <w:color w:val="auto"/>
              </w:rPr>
            </w:pP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14</w:t>
            </w:r>
          </w:p>
        </w:tc>
      </w:tr>
      <w:tr>
        <w:trPr>
          <w:trHeight w:val="153"/>
        </w:trPr>
        <w:tc>
          <w:tcPr>
            <w:tcW w:w="5380" w:type="dxa"/>
            <w:vAlign w:val="bottom"/>
            <w:gridSpan w:val="11"/>
          </w:tcPr>
          <w:p>
            <w:pPr>
              <w:spacing w:after="0" w:line="153" w:lineRule="exact"/>
              <w:rPr>
                <w:sz w:val="20"/>
                <w:szCs w:val="20"/>
                <w:color w:val="auto"/>
              </w:rPr>
            </w:pPr>
            <w:r>
              <w:rPr>
                <w:rFonts w:ascii="Times New Roman" w:cs="Times New Roman" w:eastAsia="Times New Roman" w:hAnsi="Times New Roman"/>
                <w:sz w:val="14"/>
                <w:szCs w:val="14"/>
                <w:color w:val="0000EE"/>
              </w:rPr>
              <w:t>EXPERTS</w:t>
            </w:r>
          </w:p>
        </w:tc>
        <w:tc>
          <w:tcPr>
            <w:tcW w:w="3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14</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ectPr>
          <w:pgSz w:w="11900" w:h="16838" w:orient="portrait"/>
          <w:cols w:equalWidth="0" w:num="1">
            <w:col w:w="10159"/>
          </w:cols>
          <w:pgMar w:left="300" w:top="39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7" w:lineRule="exact"/>
        <w:rPr>
          <w:sz w:val="20"/>
          <w:szCs w:val="20"/>
          <w:color w:val="auto"/>
        </w:rPr>
      </w:pPr>
    </w:p>
    <w:p>
      <w:pPr>
        <w:ind w:left="1240" w:right="99" w:firstLine="353"/>
        <w:spacing w:after="0" w:line="261"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and the selling securityholders may sell shares of common stock from time to time and in one or more offerings as described in this prospectus.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323" w:lineRule="exact"/>
        <w:rPr>
          <w:sz w:val="20"/>
          <w:szCs w:val="20"/>
          <w:color w:val="auto"/>
        </w:rPr>
      </w:pPr>
    </w:p>
    <w:p>
      <w:pPr>
        <w:ind w:left="1240" w:right="99" w:firstLine="353"/>
        <w:spacing w:after="0" w:line="260"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50" w:lineRule="exact"/>
        <w:rPr>
          <w:sz w:val="20"/>
          <w:szCs w:val="20"/>
          <w:color w:val="auto"/>
        </w:rPr>
      </w:pPr>
    </w:p>
    <w:p>
      <w:pPr>
        <w:ind w:left="1240" w:right="619" w:firstLine="353"/>
        <w:spacing w:after="0" w:line="298" w:lineRule="auto"/>
        <w:rPr>
          <w:sz w:val="20"/>
          <w:szCs w:val="20"/>
          <w:color w:val="auto"/>
        </w:rPr>
      </w:pPr>
      <w:r>
        <w:rPr>
          <w:rFonts w:ascii="Times New Roman" w:cs="Times New Roman" w:eastAsia="Times New Roman" w:hAnsi="Times New Roman"/>
          <w:sz w:val="14"/>
          <w:szCs w:val="14"/>
          <w:color w:val="auto"/>
        </w:rPr>
        <w:t>When we refer to “PDF,” “PDF Solutions,” “we,” “our,” “us” and the “Company” in this prospectus, we mean PDF Solutions, Inc. and its consolidated subsidiaries, unless otherwise specified. When we refer to “you,” we mean the potential holders of our common stock.</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7" w:lineRule="exact"/>
        <w:rPr>
          <w:sz w:val="20"/>
          <w:szCs w:val="20"/>
          <w:color w:val="auto"/>
        </w:rPr>
      </w:pPr>
    </w:p>
    <w:p>
      <w:pPr>
        <w:ind w:left="1240" w:right="99" w:firstLine="353"/>
        <w:spacing w:after="0" w:line="264" w:lineRule="auto"/>
        <w:rPr>
          <w:sz w:val="20"/>
          <w:szCs w:val="20"/>
          <w:color w:val="auto"/>
        </w:rPr>
      </w:pPr>
      <w:r>
        <w:rPr>
          <w:rFonts w:ascii="Times New Roman" w:cs="Times New Roman" w:eastAsia="Times New Roman" w:hAnsi="Times New Roman"/>
          <w:sz w:val="14"/>
          <w:szCs w:val="14"/>
          <w:color w:val="auto"/>
        </w:rPr>
        <w:t>This prospectus, including the documents incorporated or deemed to be incorporated by reference into this prospectus, contains forward-looking statements within the meaning of Section 27A of the Securities Act, and Section 21E of the Securities Exchange Act of 1934, as amended (the “Exchange Act”). These statements include, but are not limited to, statements related to: our business strategy and objectives; our intellectual property and proprietary software, information and technology; our sales and marketing strategy, expectations regarding strategic alliances and relationships; investments in research and development; industry trends; macroeconomic factors, inventories, and demand; changing export controls and sanctions; U.S. administrative initiatives; investments in semiconductor manufacturing; geopolitical tensions and conflicts; fluctuations in our quarterly results; and other statements identified by words such as “could,” “expects,” “intends,” “may,” “plans,” “potential,” “should,” “will,” “would,” or similar expressions and the negatives of those terms.</w:t>
      </w:r>
    </w:p>
    <w:p>
      <w:pPr>
        <w:spacing w:after="0" w:line="317" w:lineRule="exact"/>
        <w:rPr>
          <w:sz w:val="20"/>
          <w:szCs w:val="20"/>
          <w:color w:val="auto"/>
        </w:rPr>
      </w:pPr>
    </w:p>
    <w:p>
      <w:pPr>
        <w:ind w:left="1240" w:right="119" w:firstLine="353"/>
        <w:spacing w:after="0" w:line="263"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are based on management’s current beliefs and assumptions and are not guarantees of future performance. The forward-looking statements are subject to various risks, uncertainties, assumptions or changes in circumstances that are difficult to predict or quantify. Actual results may differ materially from these expectations due to numerous factors, many of which are beyond our control, including the risks detailed under “Risk Factors” in our Annual Report on Form 10-K for the year ended December 31, 2025, and as such risk factors may be updated from time to time in our periodic filings with the SEC, which filings are incorporated or deemed to be incorporated by reference into this prospectus and are accessible on the SEC’s website at www.sec.gov. Since it is not possible to foresee all such factors, these factors should not be considered as complete or exhaustive. Consequently, we caution investors not to place undue reliance on any forward-looking statements, as no forward-looking statement can be guaranteed, and actual results may vary materially.</w:t>
      </w:r>
    </w:p>
    <w:p>
      <w:pPr>
        <w:spacing w:after="0" w:line="145" w:lineRule="exact"/>
        <w:rPr>
          <w:sz w:val="20"/>
          <w:szCs w:val="20"/>
          <w:color w:val="auto"/>
        </w:rPr>
      </w:pPr>
    </w:p>
    <w:p>
      <w:pPr>
        <w:ind w:left="1240" w:right="179" w:firstLine="353"/>
        <w:spacing w:after="0" w:line="264" w:lineRule="auto"/>
        <w:rPr>
          <w:sz w:val="20"/>
          <w:szCs w:val="20"/>
          <w:color w:val="auto"/>
        </w:rPr>
      </w:pPr>
      <w:r>
        <w:rPr>
          <w:rFonts w:ascii="Times New Roman" w:cs="Times New Roman" w:eastAsia="Times New Roman" w:hAnsi="Times New Roman"/>
          <w:sz w:val="14"/>
          <w:szCs w:val="14"/>
          <w:color w:val="auto"/>
        </w:rPr>
        <w:t>Any forward-looking statements made by us in this prospectus speak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required by law, we do not have any obligation to update or revise, or to publicly announce any update or revision to, any of the forward-looking statements, whether as a result of new information, future events or otherwise.</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00" w:lineRule="exact"/>
        <w:rPr>
          <w:sz w:val="20"/>
          <w:szCs w:val="20"/>
          <w:color w:val="auto"/>
        </w:rPr>
      </w:pPr>
    </w:p>
    <w:p>
      <w:pPr>
        <w:ind w:left="1240" w:right="239" w:firstLine="353"/>
        <w:spacing w:after="0" w:line="298" w:lineRule="auto"/>
        <w:rPr>
          <w:sz w:val="20"/>
          <w:szCs w:val="20"/>
          <w:color w:val="auto"/>
        </w:rPr>
      </w:pPr>
      <w:r>
        <w:rPr>
          <w:rFonts w:ascii="Times New Roman" w:cs="Times New Roman" w:eastAsia="Times New Roman" w:hAnsi="Times New Roman"/>
          <w:sz w:val="14"/>
          <w:szCs w:val="14"/>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11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website address is www.pdf.com. The information on our website, however, is not, and should not be deemed to be, a part of this prospectus.</w:t>
      </w:r>
    </w:p>
    <w:p>
      <w:pPr>
        <w:spacing w:after="0" w:line="185" w:lineRule="exact"/>
        <w:rPr>
          <w:sz w:val="20"/>
          <w:szCs w:val="20"/>
          <w:color w:val="auto"/>
        </w:rPr>
      </w:pPr>
    </w:p>
    <w:p>
      <w:pPr>
        <w:ind w:left="1240" w:right="139" w:firstLine="353"/>
        <w:spacing w:after="0" w:line="266"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00" w:lineRule="exact"/>
        <w:rPr>
          <w:sz w:val="20"/>
          <w:szCs w:val="20"/>
          <w:color w:val="auto"/>
        </w:rPr>
      </w:pPr>
    </w:p>
    <w:p>
      <w:pPr>
        <w:ind w:left="1240" w:right="159" w:firstLine="353"/>
        <w:spacing w:after="0" w:line="268"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39" w:lineRule="exact"/>
        <w:rPr>
          <w:sz w:val="20"/>
          <w:szCs w:val="20"/>
          <w:color w:val="auto"/>
        </w:rPr>
      </w:pPr>
    </w:p>
    <w:p>
      <w:pPr>
        <w:ind w:left="1240" w:right="219" w:firstLine="353"/>
        <w:spacing w:after="0" w:line="298"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43" w:lineRule="exact"/>
        <w:rPr>
          <w:sz w:val="20"/>
          <w:szCs w:val="20"/>
          <w:color w:val="auto"/>
        </w:rPr>
      </w:pPr>
    </w:p>
    <w:p>
      <w:pPr>
        <w:ind w:left="2020" w:hanging="354"/>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24, 2026.</w:t>
      </w:r>
    </w:p>
    <w:p>
      <w:pPr>
        <w:spacing w:after="0" w:line="109" w:lineRule="exact"/>
        <w:rPr>
          <w:rFonts w:ascii="Times New Roman" w:cs="Times New Roman" w:eastAsia="Times New Roman" w:hAnsi="Times New Roman"/>
          <w:sz w:val="14"/>
          <w:szCs w:val="14"/>
          <w:color w:val="auto"/>
        </w:rPr>
      </w:pPr>
    </w:p>
    <w:p>
      <w:pPr>
        <w:ind w:left="2020" w:right="159" w:hanging="354"/>
        <w:spacing w:after="0" w:line="298" w:lineRule="auto"/>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2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2025 from our Definitive Proxy Statement on </w:t>
      </w:r>
      <w:hyperlink r:id="rId28">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April 29, 2026.</w:t>
      </w:r>
    </w:p>
    <w:p>
      <w:pPr>
        <w:spacing w:after="0" w:line="43" w:lineRule="exact"/>
        <w:rPr>
          <w:rFonts w:ascii="Times New Roman" w:cs="Times New Roman" w:eastAsia="Times New Roman" w:hAnsi="Times New Roman"/>
          <w:sz w:val="14"/>
          <w:szCs w:val="14"/>
          <w:color w:val="auto"/>
        </w:rPr>
      </w:pPr>
    </w:p>
    <w:p>
      <w:pPr>
        <w:ind w:left="2020" w:hanging="354"/>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29">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quarterly period ended March 31, 2026, filed with the SEC on May 7, 2026.</w:t>
      </w:r>
    </w:p>
    <w:p>
      <w:pPr>
        <w:spacing w:after="0" w:line="109" w:lineRule="exact"/>
        <w:rPr>
          <w:rFonts w:ascii="Times New Roman" w:cs="Times New Roman" w:eastAsia="Times New Roman" w:hAnsi="Times New Roman"/>
          <w:sz w:val="14"/>
          <w:szCs w:val="14"/>
          <w:color w:val="auto"/>
        </w:rPr>
      </w:pPr>
    </w:p>
    <w:p>
      <w:pPr>
        <w:ind w:left="2020" w:hanging="354"/>
        <w:spacing w:after="0"/>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30">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April 24, 2026.</w:t>
      </w:r>
    </w:p>
    <w:p>
      <w:pPr>
        <w:spacing w:after="0" w:line="109" w:lineRule="exact"/>
        <w:rPr>
          <w:rFonts w:ascii="Times New Roman" w:cs="Times New Roman" w:eastAsia="Times New Roman" w:hAnsi="Times New Roman"/>
          <w:sz w:val="14"/>
          <w:szCs w:val="14"/>
          <w:color w:val="auto"/>
        </w:rPr>
      </w:pPr>
    </w:p>
    <w:p>
      <w:pPr>
        <w:ind w:left="2020" w:right="299" w:hanging="354"/>
        <w:spacing w:after="0" w:line="298" w:lineRule="auto"/>
        <w:tabs>
          <w:tab w:leader="none" w:pos="2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31">
        <w:r>
          <w:rPr>
            <w:rFonts w:ascii="Times New Roman" w:cs="Times New Roman" w:eastAsia="Times New Roman" w:hAnsi="Times New Roman"/>
            <w:sz w:val="14"/>
            <w:szCs w:val="14"/>
            <w:u w:val="single" w:color="auto"/>
            <w:color w:val="0000EE"/>
          </w:rPr>
          <w:t>Exhibit 4.03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2021, filed with the SEC on March 1, 2022 and any amendment or report filed with the SEC for the purpose of updating the description.</w:t>
      </w:r>
    </w:p>
    <w:p>
      <w:pPr>
        <w:spacing w:after="0" w:line="119" w:lineRule="exact"/>
        <w:rPr>
          <w:rFonts w:ascii="Times New Roman" w:cs="Times New Roman" w:eastAsia="Times New Roman" w:hAnsi="Times New Roman"/>
          <w:sz w:val="14"/>
          <w:szCs w:val="14"/>
          <w:color w:val="auto"/>
        </w:rPr>
      </w:pPr>
    </w:p>
    <w:p>
      <w:pPr>
        <w:jc w:val="both"/>
        <w:ind w:left="1240" w:right="159" w:firstLine="353"/>
        <w:spacing w:after="0" w:line="278"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78"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3" w:lineRule="exact"/>
        <w:rPr>
          <w:sz w:val="20"/>
          <w:szCs w:val="20"/>
          <w:color w:val="auto"/>
        </w:rPr>
      </w:pPr>
    </w:p>
    <w:p>
      <w:pPr>
        <w:ind w:left="1240" w:right="319" w:firstLine="353"/>
        <w:spacing w:after="0" w:line="298"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3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PDF Solutions,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Secretary</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2858 De La Cruz Boulevard</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Santa Clara, California 95050</w:t>
      </w:r>
    </w:p>
    <w:p>
      <w:pPr>
        <w:spacing w:after="0" w:line="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(408) 280-7900</w:t>
      </w:r>
    </w:p>
    <w:p>
      <w:pPr>
        <w:spacing w:after="0" w:line="170" w:lineRule="exact"/>
        <w:rPr>
          <w:sz w:val="20"/>
          <w:szCs w:val="20"/>
          <w:color w:val="auto"/>
        </w:rPr>
      </w:pPr>
    </w:p>
    <w:p>
      <w:pPr>
        <w:ind w:left="1240" w:right="299" w:firstLine="353"/>
        <w:spacing w:after="0" w:line="298"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00" w:lineRule="exact"/>
        <w:rPr>
          <w:sz w:val="20"/>
          <w:szCs w:val="20"/>
          <w:color w:val="auto"/>
        </w:rPr>
      </w:pPr>
    </w:p>
    <w:p>
      <w:pPr>
        <w:ind w:left="1240" w:right="119" w:firstLine="353"/>
        <w:spacing w:after="0" w:line="263" w:lineRule="auto"/>
        <w:rPr>
          <w:sz w:val="20"/>
          <w:szCs w:val="20"/>
          <w:color w:val="auto"/>
        </w:rPr>
      </w:pPr>
      <w:r>
        <w:rPr>
          <w:rFonts w:ascii="Times New Roman" w:cs="Times New Roman" w:eastAsia="Times New Roman" w:hAnsi="Times New Roman"/>
          <w:sz w:val="14"/>
          <w:szCs w:val="14"/>
          <w:color w:val="auto"/>
        </w:rPr>
        <w:t>We provide comprehensive data solutions designed to empower organizations across the semiconductor and electronics ecosystems to improve the yield and quality of their products and operational efficiency for increased profitability. We derive revenues from two categories, Platform and Volume-based fees. Our offerings that contribute to Platform revenue are licenses for software (other than Cimetrix runtime licenses) and related software maintenance and technical support services; software-as-a-service; engineering services; fixed fees associated with Characterization Vehicle systems; and licenses and purchase contracts for DirectScan systems. Volume-based revenue is derived from Cimetrix runtime licenses, secureWISE data, and variable/royalty fees associated with CV systems (sometimes referred to as Gainshare). Our products and services have been sold to integrated device manufacturers, fabless semiconductor companies, foundries, out-sourced semiconductor assembly and test, capital equipment manufacturers, and system houses.</w:t>
      </w:r>
    </w:p>
    <w:p>
      <w:pPr>
        <w:spacing w:after="0" w:line="2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00" w:lineRule="exact"/>
        <w:rPr>
          <w:sz w:val="20"/>
          <w:szCs w:val="20"/>
          <w:color w:val="auto"/>
        </w:rPr>
      </w:pPr>
    </w:p>
    <w:p>
      <w:pPr>
        <w:ind w:left="1240" w:right="119" w:firstLine="353"/>
        <w:spacing w:after="0" w:line="266" w:lineRule="auto"/>
        <w:rPr>
          <w:sz w:val="20"/>
          <w:szCs w:val="20"/>
          <w:color w:val="auto"/>
        </w:rPr>
      </w:pPr>
      <w:r>
        <w:rPr>
          <w:rFonts w:ascii="Times New Roman" w:cs="Times New Roman" w:eastAsia="Times New Roman" w:hAnsi="Times New Roman"/>
          <w:sz w:val="14"/>
          <w:szCs w:val="14"/>
          <w:color w:val="auto"/>
        </w:rPr>
        <w:t>Our certificate of incorporation currently in effect is our Third Amended and Restated Certificate of Incorporation, filed with the Secretary of State of the State of Delaware on August 1, 2001, as amended by the Certificate of Amendment thereto filed with the Secretary of State of the State of Delaware on June 20, 2024. Our principal executive offices are located at 2858 De La Cruz Boulevard, Santa Clara, California 95050, and our telephone number at that location is (408) 280-7900. Our website address is www.pdf.com. The information contained on, or that can be accessed through, our website is not incorporated by reference into, and is not part of, this prospectus or the registration statement of which it forms a part, and you should not consider any such information in deciding whether to purchase our securities.</w:t>
      </w:r>
    </w:p>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7" w:lineRule="exact"/>
        <w:rPr>
          <w:sz w:val="20"/>
          <w:szCs w:val="20"/>
          <w:color w:val="auto"/>
        </w:rPr>
      </w:pPr>
    </w:p>
    <w:p>
      <w:pPr>
        <w:ind w:left="1240" w:right="139" w:firstLine="353"/>
        <w:spacing w:after="0" w:line="261"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operational,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common stock to decline, resulting in a loss of all or part of your investment. Please also carefully read the section entitled “Special Note Regarding Forward Looking Statements” included in our most recent Annual Report on Form 10-K and any subsequent Quarterly Reports on Form 10-Q or Current Reports on Form 8-K.</w:t>
      </w:r>
    </w:p>
    <w:p>
      <w:pPr>
        <w:spacing w:after="0" w:line="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7" w:lineRule="exact"/>
        <w:rPr>
          <w:sz w:val="20"/>
          <w:szCs w:val="20"/>
          <w:color w:val="auto"/>
        </w:rPr>
      </w:pPr>
    </w:p>
    <w:p>
      <w:pPr>
        <w:ind w:left="1240" w:right="299" w:firstLine="353"/>
        <w:spacing w:after="0" w:line="298"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 We will not receive any of the proceeds from the sale of common stock being offered by any of the selling securityholders.</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7" w:lineRule="exact"/>
        <w:rPr>
          <w:sz w:val="20"/>
          <w:szCs w:val="20"/>
          <w:color w:val="auto"/>
        </w:rPr>
      </w:pPr>
    </w:p>
    <w:p>
      <w:pPr>
        <w:ind w:left="1240" w:right="119" w:firstLine="353"/>
        <w:spacing w:after="0" w:line="271" w:lineRule="auto"/>
        <w:rPr>
          <w:sz w:val="20"/>
          <w:szCs w:val="20"/>
          <w:color w:val="auto"/>
        </w:rPr>
      </w:pPr>
      <w:r>
        <w:rPr>
          <w:rFonts w:ascii="Times New Roman" w:cs="Times New Roman" w:eastAsia="Times New Roman" w:hAnsi="Times New Roman"/>
          <w:sz w:val="14"/>
          <w:szCs w:val="14"/>
          <w:color w:val="auto"/>
        </w:rPr>
        <w:t>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and our amended and restated bylaws, each of which has been publicly filed with the SEC. See “Where You Can Find More Information; Incorporation by Reference.”</w:t>
      </w:r>
    </w:p>
    <w:p>
      <w:pPr>
        <w:spacing w:after="0" w:line="2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00" w:lineRule="exact"/>
        <w:rPr>
          <w:sz w:val="20"/>
          <w:szCs w:val="20"/>
          <w:color w:val="auto"/>
        </w:rPr>
      </w:pPr>
    </w:p>
    <w:p>
      <w:pPr>
        <w:ind w:left="1240" w:right="179" w:firstLine="353"/>
        <w:spacing w:after="0" w:line="271" w:lineRule="auto"/>
        <w:rPr>
          <w:sz w:val="20"/>
          <w:szCs w:val="20"/>
          <w:color w:val="auto"/>
        </w:rPr>
      </w:pPr>
      <w:r>
        <w:rPr>
          <w:rFonts w:ascii="Times New Roman" w:cs="Times New Roman" w:eastAsia="Times New Roman" w:hAnsi="Times New Roman"/>
          <w:sz w:val="14"/>
          <w:szCs w:val="14"/>
          <w:color w:val="auto"/>
        </w:rPr>
        <w:t>Our authorized capital stock consists of 75,000,000 shares, each with a par value of $0.00015 per share, of which 70,000,000 shares are designated as common stock and 5,000,000 shares are designated as preferred stock. Our shares of capital stock are represented by certificates, unless our board of directors provides by resolution that some or all of any class or series of our stock will be uncertificated. We urge you to read our amended and restated certificate of incorporation and our amended and restated bylaws.</w:t>
      </w:r>
    </w:p>
    <w:p>
      <w:pPr>
        <w:spacing w:after="0" w:line="2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00" w:lineRule="exact"/>
        <w:rPr>
          <w:sz w:val="20"/>
          <w:szCs w:val="20"/>
          <w:color w:val="auto"/>
        </w:rPr>
      </w:pPr>
    </w:p>
    <w:p>
      <w:pPr>
        <w:ind w:left="1240" w:right="119" w:firstLine="353"/>
        <w:spacing w:after="0" w:line="264" w:lineRule="auto"/>
        <w:rPr>
          <w:sz w:val="20"/>
          <w:szCs w:val="20"/>
          <w:color w:val="auto"/>
        </w:rPr>
      </w:pPr>
      <w:r>
        <w:rPr>
          <w:rFonts w:ascii="Times New Roman" w:cs="Times New Roman" w:eastAsia="Times New Roman" w:hAnsi="Times New Roman"/>
          <w:sz w:val="14"/>
          <w:szCs w:val="14"/>
          <w:color w:val="auto"/>
        </w:rPr>
        <w:t xml:space="preserve">Holders of our common stock are entitled to one vote for each share held on all matters submitted to a vote of stockholders and do not have cumulative voting rights. An election of directors by our stockholders shall be determined by the vote of the majority of the votes cast with respect to that director’s election;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if, as of the 10th day preceding the date on which the Company first mails its notice of meeting for such meeting to stockholders, the Company has received a stockholder’s notice of nominations of persons for election to the board of directors at such meeting, the directors shall be elected by the vote of a plurality of the votes cast at such meeting.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44" w:lineRule="exact"/>
        <w:rPr>
          <w:sz w:val="20"/>
          <w:szCs w:val="20"/>
          <w:color w:val="auto"/>
        </w:rPr>
      </w:pPr>
    </w:p>
    <w:p>
      <w:pPr>
        <w:ind w:left="1240" w:right="199" w:firstLine="353"/>
        <w:spacing w:after="0" w:line="268" w:lineRule="auto"/>
        <w:rPr>
          <w:sz w:val="20"/>
          <w:szCs w:val="20"/>
          <w:color w:val="auto"/>
        </w:rPr>
      </w:pPr>
      <w:r>
        <w:rPr>
          <w:rFonts w:ascii="Times New Roman" w:cs="Times New Roman" w:eastAsia="Times New Roman" w:hAnsi="Times New Roman"/>
          <w:sz w:val="14"/>
          <w:szCs w:val="14"/>
          <w:color w:val="auto"/>
        </w:rPr>
        <w:t>In the event of our liquidation, dissolution, or winding up, the holders of common stock are entitled to receive proportionately our net assets available for distribution to stockholders after the payment in full of all debts and other liabilities and subject to the prior rights of any outstanding preferred stock. Holders of common stock have no preemptive, subscription, redemption or conversion rights. There are no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00" w:lineRule="exact"/>
        <w:rPr>
          <w:sz w:val="20"/>
          <w:szCs w:val="20"/>
          <w:color w:val="auto"/>
        </w:rPr>
      </w:pPr>
    </w:p>
    <w:p>
      <w:pPr>
        <w:ind w:left="1240" w:right="259" w:firstLine="353"/>
        <w:spacing w:after="0" w:line="271" w:lineRule="auto"/>
        <w:rPr>
          <w:sz w:val="20"/>
          <w:szCs w:val="20"/>
          <w:color w:val="auto"/>
        </w:rPr>
      </w:pPr>
      <w:r>
        <w:rPr>
          <w:rFonts w:ascii="Times New Roman" w:cs="Times New Roman" w:eastAsia="Times New Roman" w:hAnsi="Times New Roman"/>
          <w:sz w:val="14"/>
          <w:szCs w:val="14"/>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Authorized but Unissued Shares</w:t>
      </w:r>
    </w:p>
    <w:p>
      <w:pPr>
        <w:spacing w:after="0" w:line="100" w:lineRule="exact"/>
        <w:rPr>
          <w:sz w:val="20"/>
          <w:szCs w:val="20"/>
          <w:color w:val="auto"/>
        </w:rPr>
      </w:pPr>
    </w:p>
    <w:p>
      <w:pPr>
        <w:ind w:left="1240" w:right="279" w:firstLine="353"/>
        <w:spacing w:after="0" w:line="298" w:lineRule="auto"/>
        <w:rPr>
          <w:sz w:val="20"/>
          <w:szCs w:val="20"/>
          <w:color w:val="auto"/>
        </w:rPr>
      </w:pPr>
      <w:r>
        <w:rPr>
          <w:rFonts w:ascii="Times New Roman" w:cs="Times New Roman" w:eastAsia="Times New Roman" w:hAnsi="Times New Roman"/>
          <w:sz w:val="14"/>
          <w:szCs w:val="14"/>
          <w:color w:val="auto"/>
        </w:rPr>
        <w:t>The authorized but unissued shares of our common stock and our preferred stock are available for future issuance without stockholder approval, subject to any limitations imposed by the listing standards of The Nasdaq Stock Market LLC.</w: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40" w:right="539"/>
        <w:spacing w:after="0" w:line="301" w:lineRule="auto"/>
        <w:rPr>
          <w:sz w:val="20"/>
          <w:szCs w:val="20"/>
          <w:color w:val="auto"/>
        </w:rPr>
      </w:pPr>
      <w:r>
        <w:rPr>
          <w:rFonts w:ascii="Times New Roman" w:cs="Times New Roman" w:eastAsia="Times New Roman" w:hAnsi="Times New Roman"/>
          <w:sz w:val="14"/>
          <w:szCs w:val="14"/>
          <w:b w:val="1"/>
          <w:bCs w:val="1"/>
          <w:color w:val="auto"/>
        </w:rPr>
        <w:t>Anti-Takeover Effects of Provisions of Our Amended and Restated Certificate of Incorporation, Our Amended and Restated Bylaws and Delaware Law</w:t>
      </w:r>
    </w:p>
    <w:p>
      <w:pPr>
        <w:spacing w:after="0" w:line="31" w:lineRule="exact"/>
        <w:rPr>
          <w:sz w:val="20"/>
          <w:szCs w:val="20"/>
          <w:color w:val="auto"/>
        </w:rPr>
      </w:pPr>
    </w:p>
    <w:p>
      <w:pPr>
        <w:ind w:left="1240" w:right="139" w:firstLine="353"/>
        <w:spacing w:after="0" w:line="278"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and our amended and restated bylaws, as well as provisions of the Delaware General Corporation Law (the “DGCL”), could make it more difficult for a third party to acquire us or increase the cost of acquiring us, even if doing so would benefit our stockholders, including transactions in which stockholders might otherwise receive a premium for their shares.</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Classified Board of Directors</w:t>
      </w:r>
    </w:p>
    <w:p>
      <w:pPr>
        <w:spacing w:after="0" w:line="100" w:lineRule="exact"/>
        <w:rPr>
          <w:sz w:val="20"/>
          <w:szCs w:val="20"/>
          <w:color w:val="auto"/>
        </w:rPr>
      </w:pPr>
    </w:p>
    <w:p>
      <w:pPr>
        <w:ind w:left="1240" w:right="139" w:firstLine="353"/>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board of directors is divided into three classes, designated Class I, Class II and Class III, as nearly equal in number as reasonably possible, with each class serving a three-year staggered term. As a result, approximately one-third of our directors are elected each year. Each director shall serve until his or her successor is duly elected and qualified or until his or her death, resignation or removal. Any director, or the entire board of directors, may be removed from office, with or without cause, by the holders of a majority of the voting power of the then-outstanding shares of our voting stock entitled to vote generally in the election of directors, voting together as a single class. Any vacancies on the board of directors resulting from death, resignation, disqualification, removal or other causes may be filled by either (i) the affirmative vote of the holders of a majority of the voting power of the then-outstanding shares of voting stock, voting together as a single class, or</w:t>
      </w:r>
    </w:p>
    <w:p>
      <w:pPr>
        <w:spacing w:after="0" w:line="1" w:lineRule="exact"/>
        <w:rPr>
          <w:sz w:val="20"/>
          <w:szCs w:val="20"/>
          <w:color w:val="auto"/>
        </w:rPr>
      </w:pPr>
    </w:p>
    <w:p>
      <w:pPr>
        <w:jc w:val="both"/>
        <w:ind w:left="1240" w:right="119" w:hanging="7"/>
        <w:spacing w:after="0" w:line="263" w:lineRule="auto"/>
        <w:tabs>
          <w:tab w:leader="none" w:pos="145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a majority of the remaining directors then in office, even though less than a quorum of the board of directors. Subject to the rights of any series of preferred stock then outstanding, newly created directorships resulting from any increase in the number of directors shall, unless the board of directors determines that any such newly created directorship shall be filled by the stockholders, be filled only by the affirmative vote of the directors then in office, even though less than a quorum, or by a sole remaining director.</w:t>
      </w:r>
    </w:p>
    <w:p>
      <w:pPr>
        <w:spacing w:after="0" w:line="2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Special Meetings of Stockholders</w:t>
      </w:r>
    </w:p>
    <w:p>
      <w:pPr>
        <w:spacing w:after="0" w:line="100" w:lineRule="exact"/>
        <w:rPr>
          <w:sz w:val="20"/>
          <w:szCs w:val="20"/>
          <w:color w:val="auto"/>
        </w:rPr>
      </w:pPr>
    </w:p>
    <w:p>
      <w:pPr>
        <w:ind w:left="1240" w:right="339" w:firstLine="353"/>
        <w:spacing w:after="0" w:line="278" w:lineRule="auto"/>
        <w:rPr>
          <w:sz w:val="20"/>
          <w:szCs w:val="20"/>
          <w:color w:val="auto"/>
        </w:rPr>
      </w:pPr>
      <w:r>
        <w:rPr>
          <w:rFonts w:ascii="Times New Roman" w:cs="Times New Roman" w:eastAsia="Times New Roman" w:hAnsi="Times New Roman"/>
          <w:sz w:val="14"/>
          <w:szCs w:val="14"/>
          <w:color w:val="auto"/>
        </w:rPr>
        <w:t>Our amended and restated bylaws provide that a special meeting of the stockholders may be called at any time by the board of directors, by the chairperson of the board, or by the president. Our amended and restated bylaws require that the notice for a special meeting specify the purpose or purposes for which the meeting is called, and business at any special meeting is limited to the purpose or purposes stated in the notice.</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Stockholder Action by Written Consent</w:t>
      </w:r>
    </w:p>
    <w:p>
      <w:pPr>
        <w:spacing w:after="0" w:line="100" w:lineRule="exact"/>
        <w:rPr>
          <w:sz w:val="20"/>
          <w:szCs w:val="20"/>
          <w:color w:val="auto"/>
        </w:rPr>
      </w:pPr>
    </w:p>
    <w:p>
      <w:pPr>
        <w:ind w:left="1240" w:right="139" w:firstLine="353"/>
        <w:spacing w:after="0" w:line="264" w:lineRule="auto"/>
        <w:rPr>
          <w:sz w:val="20"/>
          <w:szCs w:val="20"/>
          <w:color w:val="auto"/>
        </w:rPr>
      </w:pPr>
      <w:r>
        <w:rPr>
          <w:rFonts w:ascii="Times New Roman" w:cs="Times New Roman" w:eastAsia="Times New Roman" w:hAnsi="Times New Roman"/>
          <w:sz w:val="14"/>
          <w:szCs w:val="14"/>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provides that no action shall be taken by the stockholders other than at an annual or special meeting of the stockholders, upon due notice and in accordance with the provisions of our bylaws, and no action shall be taken by the stockholders by written consent. Accordingly, stockholder action by written consent is prohibited.</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Requirements for Advance Notification of Stockholder Meetings, Nominations and Proposals</w:t>
      </w:r>
    </w:p>
    <w:p>
      <w:pPr>
        <w:spacing w:after="0" w:line="100" w:lineRule="exact"/>
        <w:rPr>
          <w:sz w:val="20"/>
          <w:szCs w:val="20"/>
          <w:color w:val="auto"/>
        </w:rPr>
      </w:pPr>
    </w:p>
    <w:p>
      <w:pPr>
        <w:ind w:left="1240" w:right="159" w:firstLine="353"/>
        <w:spacing w:after="0" w:line="268" w:lineRule="auto"/>
        <w:rPr>
          <w:sz w:val="20"/>
          <w:szCs w:val="20"/>
          <w:color w:val="auto"/>
        </w:rPr>
      </w:pPr>
      <w:r>
        <w:rPr>
          <w:rFonts w:ascii="Times New Roman" w:cs="Times New Roman" w:eastAsia="Times New Roman" w:hAnsi="Times New Roman"/>
          <w:sz w:val="14"/>
          <w:szCs w:val="14"/>
          <w:color w:val="auto"/>
        </w:rPr>
        <w:t>Our amended and restated bylaws require that any stockholder who wishes to bring business before an annual meeting or nominate directors must comply with the advance notice requirements set forth therein. In addition, our amended and restated bylaws contain a proxy access provision that, subject to specified eligibility, ownership, procedural and disclosure requirements, permits an eligible stockholder, or a group of up to 20 eligible stockholders, that has owned at least 5% of our outstanding common stock continuously for at least three years to include in our proxy materials for an annual meeting of stockholders director nominees constituting up to the greater of two or 20% of our board of directors.</w:t>
      </w:r>
    </w:p>
    <w:p>
      <w:pPr>
        <w:spacing w:after="0" w:line="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Approval for Amendment of Certificate of Incorporation and Bylaws</w:t>
      </w:r>
    </w:p>
    <w:p>
      <w:pPr>
        <w:spacing w:after="0" w:line="100" w:lineRule="exact"/>
        <w:rPr>
          <w:sz w:val="20"/>
          <w:szCs w:val="20"/>
          <w:color w:val="auto"/>
        </w:rPr>
      </w:pPr>
    </w:p>
    <w:p>
      <w:pPr>
        <w:ind w:left="1240" w:right="179" w:firstLine="353"/>
        <w:spacing w:after="0" w:line="264" w:lineRule="auto"/>
        <w:rPr>
          <w:sz w:val="20"/>
          <w:szCs w:val="20"/>
          <w:color w:val="auto"/>
        </w:rPr>
      </w:pPr>
      <w:r>
        <w:rPr>
          <w:rFonts w:ascii="Times New Roman" w:cs="Times New Roman" w:eastAsia="Times New Roman" w:hAnsi="Times New Roman"/>
          <w:sz w:val="14"/>
          <w:szCs w:val="14"/>
          <w:color w:val="auto"/>
        </w:rPr>
        <w:t>The DGCL provides generally that the affirmative vote of holders of a majority in voting power of outstanding shares entitled to vote on the matter is required to amend a corporation’s certificate of incorporation, unless a corporation’s certificate of incorporation requires a greater percentage. Our amended and restated certificate of incorporation provides that the affirmative vote of holders of at least 66 2/3% of the voting power of all of the then-outstanding shares of our voting stock entitled to vote is required to amend or adopt our bylaws by stockholder action. The board of directors is also expressly authorized to adopt, amend or repeal our bylaws. Our amended and restated certificate of incorporation reserves the right to amend, alter, change or repeal any provision contained therein, in the manner now or hereafter prescribed by statute, and all rights conferred upon stockholders therein are granted subject to this reservation.</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100" w:lineRule="exact"/>
        <w:rPr>
          <w:sz w:val="20"/>
          <w:szCs w:val="20"/>
          <w:color w:val="auto"/>
        </w:rPr>
      </w:pPr>
    </w:p>
    <w:p>
      <w:pPr>
        <w:ind w:left="1240" w:right="139" w:firstLine="353"/>
        <w:spacing w:after="0" w:line="263" w:lineRule="auto"/>
        <w:rPr>
          <w:sz w:val="20"/>
          <w:szCs w:val="20"/>
          <w:color w:val="auto"/>
        </w:rPr>
      </w:pPr>
      <w:r>
        <w:rPr>
          <w:rFonts w:ascii="Times New Roman" w:cs="Times New Roman" w:eastAsia="Times New Roman" w:hAnsi="Times New Roman"/>
          <w:sz w:val="14"/>
          <w:szCs w:val="14"/>
          <w:color w:val="auto"/>
        </w:rPr>
        <w:t>We are subject to Section 203 of the DGCL, which generally prohibits a Delaware corporation from engaging in any business combination (as defined in Section 203) with any interested stockholder (as defined in Section 203) for a period of three years following the time that such stockholder became an interested stockholder, unless (i) prior to such time, the board of directors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our voting stock outstanding at the time the transaction commenced (excluding specified shares) or (iii) at or subsequent to such time, the business combination is approved by the board of directors and authorized at an annual or special meeting of stockholders, and not by written consent, by the affirmative vote of at least 66 2/3% of our outstanding voting stock that is not owned by the interested stockholder.</w:t>
      </w:r>
    </w:p>
    <w:p>
      <w:pPr>
        <w:spacing w:after="0" w:line="2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Exclusive Venue</w:t>
      </w:r>
    </w:p>
    <w:p>
      <w:pPr>
        <w:spacing w:after="0" w:line="100" w:lineRule="exact"/>
        <w:rPr>
          <w:sz w:val="20"/>
          <w:szCs w:val="20"/>
          <w:color w:val="auto"/>
        </w:rPr>
      </w:pPr>
    </w:p>
    <w:p>
      <w:pPr>
        <w:ind w:left="1240" w:right="139" w:firstLine="353"/>
        <w:spacing w:after="0" w:line="260" w:lineRule="auto"/>
        <w:rPr>
          <w:sz w:val="20"/>
          <w:szCs w:val="20"/>
          <w:color w:val="auto"/>
        </w:rPr>
      </w:pPr>
      <w:r>
        <w:rPr>
          <w:rFonts w:ascii="Times New Roman" w:cs="Times New Roman" w:eastAsia="Times New Roman" w:hAnsi="Times New Roman"/>
          <w:sz w:val="14"/>
          <w:szCs w:val="14"/>
          <w:color w:val="auto"/>
        </w:rPr>
        <w:t>Our amended and restated bylaws provide that, unless we consent in writing to the selection of an alternative forum, the Court of Chancery in the State of Delaware shall be the sole and exclusive forum for (i) any derivative action or proceeding brought on our behalf, (ii) any action asserting a claim of breach of a fiduciary duty owed by any current or former director, officer, stockholder, employee or agent of the Company to us or our stockholders, including a claim alleging the aiding and abetting of such a breach of fiduciary duty, (iii) any action asserting a claim against us or any current or former director, officer, stockholder, employee or agent of the Company arising out of or relating to any provision of the DGCL, our amended and restated certificate of incorporation or our amended and restated bylaws, (iv) any action asserting a claim related to or involving the Company or any director, officer, stockholder, employee or agent of the Company that is governed by the internal affairs doctrine of the State of Delaware, or (v) any action asserting an “internal corporate claim” as that term is defined in Section 115 of the DGCL; provided, however, that, in the event that the Court of Chancery lacks subject matter jurisdiction over any such action or proceeding, the sole and exclusive forum for such action or proceeding shall be another state or federal court located within the State of Delaware. The Delaware exclusive forum provision described above does not apply to any suits brought to enforce any liability or duty created by the Exchange Act, the Securities Act or any other claim for which the federal courts of the United States have exclusive jurisdiction. Any person or entity purchasing or otherwise acquiring any interest in our shares of capital stock will be deemed to have notice of and consented to the foregoing forum selection provisions. Although our amended and restated bylaws contain the exclusive forum provisions described above, it is possible that a court could find that such provisions are inapplicable for a particular claim or action or that such provisions are unenforceable.</w:t>
      </w:r>
    </w:p>
    <w:p>
      <w:pPr>
        <w:spacing w:after="0" w:line="200" w:lineRule="exact"/>
        <w:rPr>
          <w:sz w:val="20"/>
          <w:szCs w:val="20"/>
          <w:color w:val="auto"/>
        </w:rPr>
      </w:pP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Limitation of Liability and Indemnification</w:t>
      </w:r>
    </w:p>
    <w:p>
      <w:pPr>
        <w:spacing w:after="0" w:line="100" w:lineRule="exact"/>
        <w:rPr>
          <w:sz w:val="20"/>
          <w:szCs w:val="20"/>
          <w:color w:val="auto"/>
        </w:rPr>
      </w:pPr>
    </w:p>
    <w:p>
      <w:pPr>
        <w:ind w:left="1240" w:right="359" w:firstLine="353"/>
        <w:spacing w:after="0" w:line="298"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to the fullest extent permitted by the DGCL, as the same may be amended from time to time, no director or officer of the Company shall be personally</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3" w:lineRule="exact"/>
        <w:rPr>
          <w:sz w:val="20"/>
          <w:szCs w:val="20"/>
          <w:color w:val="auto"/>
        </w:rPr>
      </w:pPr>
    </w:p>
    <w:p>
      <w:pPr>
        <w:ind w:left="1240" w:right="119"/>
        <w:spacing w:after="0" w:line="266" w:lineRule="auto"/>
        <w:rPr>
          <w:sz w:val="20"/>
          <w:szCs w:val="20"/>
          <w:color w:val="auto"/>
        </w:rPr>
      </w:pPr>
      <w:r>
        <w:rPr>
          <w:rFonts w:ascii="Times New Roman" w:cs="Times New Roman" w:eastAsia="Times New Roman" w:hAnsi="Times New Roman"/>
          <w:sz w:val="14"/>
          <w:szCs w:val="14"/>
          <w:color w:val="auto"/>
        </w:rPr>
        <w:t>liable to us or our stockholders for monetary damages for breach of fiduciary duty as a director or officer. If the DGCL is hereafter amended to authorize corporate action further limiting or eliminating the personal liability of directors or officers, then the liability of our directors and officers will be limited or eliminated to the fullest extent permitted by the DGCL, as so amended. Our amended and restated certificate of incorporation also authorizes us, to the fullest extent permitted by applicable law, to provide indemnification of (and advancement of expenses to) our agents and other persons through bylaw provisions, agreements with such persons, vote of stockholders or disinterested directors or otherwise, in excess of the indemnification and advancement otherwise permitted by Section 145 of the DGCL.</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0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w:t>
      </w:r>
    </w:p>
    <w:p>
      <w:pPr>
        <w:spacing w:after="0" w:line="2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Stock Exchange Listing</w:t>
      </w:r>
    </w:p>
    <w:p>
      <w:pPr>
        <w:spacing w:after="0" w:line="10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“PDFS.”</w:t>
      </w:r>
    </w:p>
    <w:p>
      <w:pPr>
        <w:spacing w:after="0" w:line="1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87" w:lineRule="exact"/>
        <w:rPr>
          <w:sz w:val="20"/>
          <w:szCs w:val="20"/>
          <w:color w:val="auto"/>
        </w:rPr>
      </w:pPr>
    </w:p>
    <w:p>
      <w:pPr>
        <w:ind w:left="1240" w:right="439" w:firstLine="353"/>
        <w:spacing w:after="0" w:line="298" w:lineRule="auto"/>
        <w:rPr>
          <w:sz w:val="20"/>
          <w:szCs w:val="20"/>
          <w:color w:val="auto"/>
        </w:rPr>
      </w:pPr>
      <w:r>
        <w:rPr>
          <w:rFonts w:ascii="Times New Roman" w:cs="Times New Roman" w:eastAsia="Times New Roman" w:hAnsi="Times New Roman"/>
          <w:sz w:val="14"/>
          <w:szCs w:val="14"/>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or any of the selling securityholders may sell the offered securities from time to time:</w:t>
      </w:r>
    </w:p>
    <w:p>
      <w:pPr>
        <w:spacing w:after="0" w:line="109" w:lineRule="exact"/>
        <w:rPr>
          <w:sz w:val="20"/>
          <w:szCs w:val="20"/>
          <w:color w:val="auto"/>
        </w:rPr>
      </w:pPr>
    </w:p>
    <w:p>
      <w:pPr>
        <w:ind w:left="2020" w:hanging="354"/>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09" w:lineRule="exact"/>
        <w:rPr>
          <w:rFonts w:ascii="Times New Roman" w:cs="Times New Roman" w:eastAsia="Times New Roman" w:hAnsi="Times New Roman"/>
          <w:sz w:val="14"/>
          <w:szCs w:val="14"/>
          <w:color w:val="auto"/>
        </w:rPr>
      </w:pPr>
    </w:p>
    <w:p>
      <w:pPr>
        <w:ind w:left="2020" w:hanging="354"/>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9" w:lineRule="exact"/>
        <w:rPr>
          <w:rFonts w:ascii="Times New Roman" w:cs="Times New Roman" w:eastAsia="Times New Roman" w:hAnsi="Times New Roman"/>
          <w:sz w:val="14"/>
          <w:szCs w:val="14"/>
          <w:color w:val="auto"/>
        </w:rPr>
      </w:pPr>
    </w:p>
    <w:p>
      <w:pPr>
        <w:ind w:left="2020" w:hanging="354"/>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109" w:lineRule="exact"/>
        <w:rPr>
          <w:rFonts w:ascii="Times New Roman" w:cs="Times New Roman" w:eastAsia="Times New Roman" w:hAnsi="Times New Roman"/>
          <w:sz w:val="14"/>
          <w:szCs w:val="14"/>
          <w:color w:val="auto"/>
        </w:rPr>
      </w:pPr>
    </w:p>
    <w:p>
      <w:pPr>
        <w:ind w:left="2020" w:hanging="354"/>
        <w:spacing w:after="0"/>
        <w:tabs>
          <w:tab w:leader="none" w:pos="2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85" w:lineRule="exact"/>
        <w:rPr>
          <w:sz w:val="20"/>
          <w:szCs w:val="20"/>
          <w:color w:val="auto"/>
        </w:rPr>
      </w:pPr>
    </w:p>
    <w:p>
      <w:pPr>
        <w:ind w:left="1240" w:right="339" w:firstLine="353"/>
        <w:spacing w:after="0" w:line="298"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the applicable prospectus supplement.</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7" w:lineRule="exact"/>
        <w:rPr>
          <w:sz w:val="20"/>
          <w:szCs w:val="20"/>
          <w:color w:val="auto"/>
        </w:rPr>
      </w:pPr>
    </w:p>
    <w:p>
      <w:pPr>
        <w:ind w:left="1240" w:right="199" w:firstLine="353"/>
        <w:spacing w:after="0" w:line="278"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PDF Solutions, Inc. Additional legal matters may be passed upon for us, the selling securityholders or any underwriters, dealers or agents by counsel that we will name in the applicable prospectus supplement.</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7" w:lineRule="exact"/>
        <w:rPr>
          <w:sz w:val="20"/>
          <w:szCs w:val="20"/>
          <w:color w:val="auto"/>
        </w:rPr>
      </w:pPr>
    </w:p>
    <w:p>
      <w:pPr>
        <w:ind w:left="1240" w:right="199" w:firstLine="353"/>
        <w:spacing w:after="0" w:line="268" w:lineRule="auto"/>
        <w:rPr>
          <w:sz w:val="20"/>
          <w:szCs w:val="20"/>
          <w:color w:val="auto"/>
        </w:rPr>
      </w:pPr>
      <w:r>
        <w:rPr>
          <w:rFonts w:ascii="Times New Roman" w:cs="Times New Roman" w:eastAsia="Times New Roman" w:hAnsi="Times New Roman"/>
          <w:sz w:val="14"/>
          <w:szCs w:val="14"/>
          <w:color w:val="auto"/>
        </w:rPr>
        <w:t>The consolidated financial statements of PDF Solutions, Inc. as of December 31, 2025 and 2024 and for each of the three years in the period ended December 31, 2025, and management’s assessment of the effectiveness of internal control over financial reporting (which is included in Management’s Report on Internal Control over Financial Reporting) as of December 31, 2025, incorporated in this Registration Statement on Form S-3 by reference to the Annual Report on Form 10-K for the year ended December 31, 2025, have been so incorporated in reliance on the reports of BPM LLP, an independent registered public accounting firm, given on the authority of said firm as experts in auditing and accounting.</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87" w:lineRule="exact"/>
        <w:rPr>
          <w:sz w:val="20"/>
          <w:szCs w:val="20"/>
          <w:color w:val="auto"/>
        </w:rPr>
      </w:pPr>
    </w:p>
    <w:p>
      <w:pPr>
        <w:ind w:left="1240"/>
        <w:spacing w:after="0"/>
        <w:tabs>
          <w:tab w:leader="none" w:pos="20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Other Expenses of Issuance and Distribution</w:t>
      </w:r>
    </w:p>
    <w:p>
      <w:pPr>
        <w:spacing w:after="0" w:line="102" w:lineRule="exact"/>
        <w:rPr>
          <w:sz w:val="20"/>
          <w:szCs w:val="20"/>
          <w:color w:val="auto"/>
        </w:rPr>
      </w:pPr>
    </w:p>
    <w:p>
      <w:pPr>
        <w:ind w:left="1240" w:right="419" w:firstLine="353"/>
        <w:spacing w:after="0" w:line="298"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the registrant) that we may incur in connection with the securities being registered hereby.</w:t>
      </w:r>
    </w:p>
    <w:p>
      <w:pPr>
        <w:spacing w:after="0" w:line="155" w:lineRule="exact"/>
        <w:rPr>
          <w:sz w:val="20"/>
          <w:szCs w:val="20"/>
          <w:color w:val="auto"/>
        </w:rPr>
      </w:pPr>
    </w:p>
    <w:tbl>
      <w:tblPr>
        <w:tblLayout w:type="fixed"/>
        <w:tblInd w:w="2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Nasdaq Global Select Market listing fee</w:t>
            </w:r>
          </w:p>
        </w:tc>
        <w:tc>
          <w:tcPr>
            <w:tcW w:w="1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Blue Sky, qualification fees and expenses</w:t>
            </w:r>
          </w:p>
        </w:tc>
        <w:tc>
          <w:tcPr>
            <w:tcW w:w="1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r>
      <w:tr>
        <w:trPr>
          <w:trHeight w:val="175"/>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580" w:right="619" w:hanging="347"/>
        <w:spacing w:after="0" w:line="269" w:lineRule="auto"/>
        <w:tabs>
          <w:tab w:leader="none" w:pos="1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the SEC registration fee will be paid at the time of any particular offering of securities under the registration statement, and is therefore not currently determinable.</w:t>
      </w:r>
    </w:p>
    <w:p>
      <w:pPr>
        <w:ind w:left="1580" w:hanging="347"/>
        <w:spacing w:after="0"/>
        <w:tabs>
          <w:tab w:leader="none" w:pos="1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84" w:lineRule="exact"/>
        <w:rPr>
          <w:sz w:val="20"/>
          <w:szCs w:val="20"/>
          <w:color w:val="auto"/>
        </w:rPr>
      </w:pPr>
    </w:p>
    <w:p>
      <w:pPr>
        <w:ind w:left="1240"/>
        <w:spacing w:after="0"/>
        <w:tabs>
          <w:tab w:leader="none" w:pos="20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Indemnification of Directors and Officers</w:t>
      </w:r>
    </w:p>
    <w:p>
      <w:pPr>
        <w:spacing w:after="0" w:line="102" w:lineRule="exact"/>
        <w:rPr>
          <w:sz w:val="20"/>
          <w:szCs w:val="20"/>
          <w:color w:val="auto"/>
        </w:rPr>
      </w:pPr>
    </w:p>
    <w:p>
      <w:pPr>
        <w:ind w:left="1240" w:right="159" w:firstLine="353"/>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us to provide indemnification to the fullest extent permitted by applicable law, and our amended and restated bylaws provide that we will indemnify our directors and officers to the maximum extent permitted by the DGCL. 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321" w:lineRule="exact"/>
        <w:rPr>
          <w:sz w:val="20"/>
          <w:szCs w:val="20"/>
          <w:color w:val="auto"/>
        </w:rPr>
      </w:pPr>
    </w:p>
    <w:p>
      <w:pPr>
        <w:ind w:left="1240" w:right="179" w:firstLine="353"/>
        <w:spacing w:after="0" w:line="263" w:lineRule="auto"/>
        <w:rPr>
          <w:sz w:val="20"/>
          <w:szCs w:val="20"/>
          <w:color w:val="auto"/>
        </w:rPr>
      </w:pPr>
      <w:r>
        <w:rPr>
          <w:rFonts w:ascii="Times New Roman" w:cs="Times New Roman" w:eastAsia="Times New Roman" w:hAnsi="Times New Roman"/>
          <w:sz w:val="14"/>
          <w:szCs w:val="14"/>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3" w:lineRule="exact"/>
        <w:rPr>
          <w:sz w:val="20"/>
          <w:szCs w:val="20"/>
          <w:color w:val="auto"/>
        </w:rPr>
      </w:pPr>
    </w:p>
    <w:p>
      <w:pPr>
        <w:ind w:left="1240" w:right="119" w:firstLine="353"/>
        <w:spacing w:after="0" w:line="262" w:lineRule="auto"/>
        <w:rPr>
          <w:sz w:val="20"/>
          <w:szCs w:val="20"/>
          <w:color w:val="auto"/>
        </w:rPr>
      </w:pPr>
      <w:r>
        <w:rPr>
          <w:rFonts w:ascii="Times New Roman" w:cs="Times New Roman" w:eastAsia="Times New Roman" w:hAnsi="Times New Roman"/>
          <w:sz w:val="14"/>
          <w:szCs w:val="14"/>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liabilities under Section 145.</w:t>
      </w:r>
    </w:p>
    <w:p>
      <w:pPr>
        <w:spacing w:after="0" w:line="145" w:lineRule="exact"/>
        <w:rPr>
          <w:sz w:val="20"/>
          <w:szCs w:val="20"/>
          <w:color w:val="auto"/>
        </w:rPr>
      </w:pPr>
    </w:p>
    <w:p>
      <w:pPr>
        <w:ind w:left="1240" w:right="159" w:firstLine="353"/>
        <w:spacing w:after="0" w:line="264" w:lineRule="auto"/>
        <w:rPr>
          <w:sz w:val="20"/>
          <w:szCs w:val="20"/>
          <w:color w:val="auto"/>
        </w:rPr>
      </w:pPr>
      <w:r>
        <w:rPr>
          <w:rFonts w:ascii="Times New Roman" w:cs="Times New Roman" w:eastAsia="Times New Roman" w:hAnsi="Times New Roman"/>
          <w:sz w:val="14"/>
          <w:szCs w:val="14"/>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Our amended and restated certificate of incorporation contains a provision which eliminates directors’ and officers’ personal liability as set forth above.</w:t>
      </w:r>
    </w:p>
    <w:p>
      <w:pPr>
        <w:spacing w:after="0" w:line="144" w:lineRule="exact"/>
        <w:rPr>
          <w:sz w:val="20"/>
          <w:szCs w:val="20"/>
          <w:color w:val="auto"/>
        </w:rPr>
      </w:pPr>
    </w:p>
    <w:p>
      <w:pPr>
        <w:ind w:left="1240" w:right="179" w:firstLine="353"/>
        <w:spacing w:after="0" w:line="278" w:lineRule="auto"/>
        <w:rPr>
          <w:sz w:val="20"/>
          <w:szCs w:val="20"/>
          <w:color w:val="auto"/>
        </w:rPr>
      </w:pPr>
      <w:r>
        <w:rPr>
          <w:rFonts w:ascii="Times New Roman" w:cs="Times New Roman" w:eastAsia="Times New Roman" w:hAnsi="Times New Roman"/>
          <w:sz w:val="14"/>
          <w:szCs w:val="14"/>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w:t>
      </w:r>
    </w:p>
    <w:p>
      <w:pPr>
        <w:spacing w:after="0" w:line="132" w:lineRule="exact"/>
        <w:rPr>
          <w:sz w:val="20"/>
          <w:szCs w:val="20"/>
          <w:color w:val="auto"/>
        </w:rPr>
      </w:pPr>
    </w:p>
    <w:p>
      <w:pPr>
        <w:ind w:left="1240" w:right="159" w:firstLine="353"/>
        <w:spacing w:after="0" w:line="271" w:lineRule="auto"/>
        <w:rPr>
          <w:sz w:val="20"/>
          <w:szCs w:val="20"/>
          <w:color w:val="auto"/>
        </w:rPr>
      </w:pPr>
      <w:r>
        <w:rPr>
          <w:rFonts w:ascii="Times New Roman" w:cs="Times New Roman" w:eastAsia="Times New Roman" w:hAnsi="Times New Roman"/>
          <w:sz w:val="14"/>
          <w:szCs w:val="14"/>
          <w:color w:val="auto"/>
        </w:rPr>
        <w:t>We have in effect insurance policies for general officers’ and directors’ liability insurance covering all of our officers and directors. In addition, we have entered into indemnification agreements with certain of our directors and officers. These indemnification agreements may require us, among other things, to indemnify each such director or officer for certain expenses, including attorneys’ fees, judgments, fines and settlement amounts incurred by such director or officer in any action or proceeding arising out of such person’s service as one of our directors or officers.</w:t>
      </w:r>
    </w:p>
    <w:p>
      <w:pPr>
        <w:spacing w:after="0" w:line="253"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81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Exhibits</w:t>
            </w:r>
          </w:p>
        </w:tc>
      </w:tr>
      <w:tr>
        <w:trPr>
          <w:trHeight w:val="293"/>
        </w:trPr>
        <w:tc>
          <w:tcPr>
            <w:tcW w:w="6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240" w:type="dxa"/>
            <w:vAlign w:val="bottom"/>
          </w:tcPr>
          <w:p>
            <w:pPr>
              <w:spacing w:after="0"/>
              <w:rPr>
                <w:sz w:val="21"/>
                <w:szCs w:val="21"/>
                <w:color w:val="auto"/>
              </w:rPr>
            </w:pPr>
          </w:p>
        </w:tc>
        <w:tc>
          <w:tcPr>
            <w:tcW w:w="7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26"/>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240" w:type="dxa"/>
            <w:vAlign w:val="bottom"/>
          </w:tcPr>
          <w:p>
            <w:pPr>
              <w:spacing w:after="0"/>
              <w:rPr>
                <w:sz w:val="19"/>
                <w:szCs w:val="19"/>
                <w:color w:val="auto"/>
              </w:rPr>
            </w:pPr>
          </w:p>
        </w:tc>
        <w:tc>
          <w:tcPr>
            <w:tcW w:w="786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Third Amended and Restated Certificate of Incorporation of PDF Solutions, Inc., and Certificate of Amendment to Third Amended and</w:t>
              </w:r>
            </w:hyperlink>
          </w:p>
        </w:tc>
      </w:tr>
      <w:tr>
        <w:trPr>
          <w:trHeight w:val="153"/>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60" w:type="dxa"/>
            <w:vAlign w:val="bottom"/>
            <w:gridSpan w:val="6"/>
          </w:tcPr>
          <w:p>
            <w:pPr>
              <w:spacing w:after="0" w:line="153" w:lineRule="exact"/>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Restated Certificate of Incorporation of PDF Solutions, Inc. (incorporated by reference to Exhibit 3.01 to the Company’s Quarterly</w:t>
              </w:r>
            </w:hyperlink>
          </w:p>
        </w:tc>
      </w:tr>
      <w:tr>
        <w:trPr>
          <w:trHeight w:val="153"/>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540" w:type="dxa"/>
            <w:vAlign w:val="bottom"/>
            <w:tcBorders>
              <w:top w:val="single" w:sz="8" w:color="0000EE"/>
            </w:tcBorders>
            <w:gridSpan w:val="4"/>
          </w:tcPr>
          <w:p>
            <w:pPr>
              <w:spacing w:after="0" w:line="153" w:lineRule="exact"/>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Report on Form 10-Q filed with the SEC on August 8, 2024).</w:t>
              </w:r>
            </w:hyperlink>
          </w:p>
        </w:tc>
        <w:tc>
          <w:tcPr>
            <w:tcW w:w="320" w:type="dxa"/>
            <w:vAlign w:val="bottom"/>
            <w:gridSpan w:val="2"/>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9"/>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240" w:type="dxa"/>
            <w:vAlign w:val="bottom"/>
          </w:tcPr>
          <w:p>
            <w:pPr>
              <w:spacing w:after="0"/>
              <w:rPr>
                <w:sz w:val="20"/>
                <w:szCs w:val="20"/>
                <w:color w:val="auto"/>
              </w:rPr>
            </w:pPr>
          </w:p>
        </w:tc>
        <w:tc>
          <w:tcPr>
            <w:tcW w:w="770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46">
              <w:r>
                <w:rPr>
                  <w:rFonts w:ascii="Times New Roman" w:cs="Times New Roman" w:eastAsia="Times New Roman" w:hAnsi="Times New Roman"/>
                  <w:sz w:val="14"/>
                  <w:szCs w:val="14"/>
                  <w:color w:val="0000EE"/>
                </w:rPr>
                <w:t>Amended and Restated Bylaws of PDF Solutions, Inc. (incorporated by reference to Exhibit 3.1 to the Company’s Current Report on</w:t>
              </w:r>
            </w:hyperlink>
          </w:p>
        </w:tc>
        <w:tc>
          <w:tcPr>
            <w:tcW w:w="160" w:type="dxa"/>
            <w:vAlign w:val="bottom"/>
          </w:tcPr>
          <w:p>
            <w:pPr>
              <w:spacing w:after="0"/>
              <w:rPr>
                <w:sz w:val="20"/>
                <w:szCs w:val="20"/>
                <w:color w:val="auto"/>
              </w:rPr>
            </w:pPr>
          </w:p>
        </w:tc>
      </w:tr>
      <w:tr>
        <w:trPr>
          <w:trHeight w:val="153"/>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60" w:type="dxa"/>
            <w:vAlign w:val="bottom"/>
            <w:gridSpan w:val="6"/>
          </w:tcPr>
          <w:p>
            <w:pPr>
              <w:spacing w:after="0" w:line="153" w:lineRule="exact"/>
              <w:rPr>
                <w:rFonts w:ascii="Times New Roman" w:cs="Times New Roman" w:eastAsia="Times New Roman" w:hAnsi="Times New Roman"/>
                <w:sz w:val="14"/>
                <w:szCs w:val="14"/>
                <w:color w:val="0000EE"/>
              </w:rPr>
            </w:pPr>
            <w:hyperlink r:id="rId46">
              <w:r>
                <w:rPr>
                  <w:rFonts w:ascii="Times New Roman" w:cs="Times New Roman" w:eastAsia="Times New Roman" w:hAnsi="Times New Roman"/>
                  <w:sz w:val="14"/>
                  <w:szCs w:val="14"/>
                  <w:color w:val="0000EE"/>
                </w:rPr>
                <w:t>Form 8-K filed with the SEC on May 1, 2019).</w:t>
              </w:r>
            </w:hyperlink>
          </w:p>
        </w:tc>
      </w:tr>
      <w:tr>
        <w:trPr>
          <w:trHeight w:val="239"/>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240" w:type="dxa"/>
            <w:vAlign w:val="bottom"/>
          </w:tcPr>
          <w:p>
            <w:pPr>
              <w:spacing w:after="0"/>
              <w:rPr>
                <w:sz w:val="20"/>
                <w:szCs w:val="20"/>
                <w:color w:val="auto"/>
              </w:rPr>
            </w:pPr>
          </w:p>
        </w:tc>
        <w:tc>
          <w:tcPr>
            <w:tcW w:w="27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Opinion of Latham &amp; Watkins LLP.</w:t>
            </w:r>
          </w:p>
        </w:tc>
        <w:tc>
          <w:tcPr>
            <w:tcW w:w="5160" w:type="dxa"/>
            <w:vAlign w:val="bottom"/>
            <w:gridSpan w:val="4"/>
          </w:tcPr>
          <w:p>
            <w:pPr>
              <w:spacing w:after="0"/>
              <w:rPr>
                <w:sz w:val="20"/>
                <w:szCs w:val="20"/>
                <w:color w:val="auto"/>
              </w:rPr>
            </w:pPr>
          </w:p>
        </w:tc>
      </w:tr>
      <w:tr>
        <w:trPr>
          <w:trHeight w:val="305"/>
        </w:trPr>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516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II-2</w:t>
            </w:r>
          </w:p>
        </w:tc>
      </w:tr>
    </w:tbl>
    <w:p>
      <w:pPr>
        <w:sectPr>
          <w:pgSz w:w="11900" w:h="16838" w:orient="portrait"/>
          <w:cols w:equalWidth="0" w:num="1">
            <w:col w:w="10159"/>
          </w:cols>
          <w:pgMar w:left="300" w:top="39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240" w:type="dxa"/>
        <w:tblCellMar>
          <w:top w:w="0" w:type="dxa"/>
          <w:left w:w="0" w:type="dxa"/>
          <w:bottom w:w="0" w:type="dxa"/>
          <w:right w:w="0" w:type="dxa"/>
        </w:tblCellMar>
      </w:tblPr>
      <w:tr>
        <w:trPr>
          <w:trHeight w:val="138"/>
        </w:trPr>
        <w:tc>
          <w:tcPr>
            <w:tcW w:w="8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354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1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3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Consent of Latham &amp; Watkins LLP (included in Exhibit 5.1).</w:t>
            </w:r>
          </w:p>
        </w:tc>
        <w:tc>
          <w:tcPr>
            <w:tcW w:w="860" w:type="dxa"/>
            <w:vAlign w:val="bottom"/>
            <w:gridSpan w:val="2"/>
          </w:tcPr>
          <w:p>
            <w:pPr>
              <w:spacing w:after="0"/>
              <w:rPr>
                <w:sz w:val="18"/>
                <w:szCs w:val="18"/>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Consent of BPM LLP, independent registered public accounting firm.</w:t>
            </w:r>
          </w:p>
        </w:tc>
      </w:tr>
      <w:tr>
        <w:trPr>
          <w:trHeight w:val="20"/>
        </w:trPr>
        <w:tc>
          <w:tcPr>
            <w:tcW w:w="88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4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Powers of Attorney (incorporated by reference to the signature page hereto).</w:t>
            </w:r>
          </w:p>
        </w:tc>
      </w:tr>
    </w:tbl>
    <w:p>
      <w:pPr>
        <w:spacing w:after="0" w:line="93" w:lineRule="exact"/>
        <w:rPr>
          <w:sz w:val="20"/>
          <w:szCs w:val="20"/>
          <w:color w:val="auto"/>
        </w:rPr>
      </w:pPr>
    </w:p>
    <w:p>
      <w:pPr>
        <w:ind w:left="2120" w:hanging="887"/>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  To be filed by amendment or incorporated by reference in connection with the offering of the securities.</w:t>
      </w:r>
    </w:p>
    <w:p>
      <w:pPr>
        <w:spacing w:after="0" w:line="300" w:lineRule="exact"/>
        <w:rPr>
          <w:sz w:val="20"/>
          <w:szCs w:val="20"/>
          <w:color w:val="auto"/>
        </w:rPr>
      </w:pPr>
    </w:p>
    <w:p>
      <w:pPr>
        <w:ind w:left="1240"/>
        <w:spacing w:after="0"/>
        <w:tabs>
          <w:tab w:leader="none" w:pos="200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i w:val="1"/>
          <w:iCs w:val="1"/>
          <w:color w:val="auto"/>
        </w:rPr>
        <w:t>Undertakings</w:t>
      </w:r>
    </w:p>
    <w:p>
      <w:pPr>
        <w:spacing w:after="0" w:line="1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 The undersigned registrant hereby undertakes:</w:t>
      </w:r>
    </w:p>
    <w:p>
      <w:pPr>
        <w:spacing w:after="0" w:line="98" w:lineRule="exact"/>
        <w:rPr>
          <w:sz w:val="20"/>
          <w:szCs w:val="20"/>
          <w:color w:val="auto"/>
        </w:rPr>
      </w:pPr>
    </w:p>
    <w:p>
      <w:pPr>
        <w:ind w:left="1800" w:hanging="214"/>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8" w:lineRule="exact"/>
        <w:rPr>
          <w:rFonts w:ascii="Times New Roman" w:cs="Times New Roman" w:eastAsia="Times New Roman" w:hAnsi="Times New Roman"/>
          <w:sz w:val="14"/>
          <w:szCs w:val="14"/>
          <w:color w:val="auto"/>
        </w:rPr>
      </w:pPr>
    </w:p>
    <w:p>
      <w:pPr>
        <w:ind w:left="1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w:t>
      </w:r>
    </w:p>
    <w:p>
      <w:pPr>
        <w:spacing w:after="0" w:line="185" w:lineRule="exact"/>
        <w:rPr>
          <w:sz w:val="20"/>
          <w:szCs w:val="20"/>
          <w:color w:val="auto"/>
        </w:rPr>
      </w:pPr>
    </w:p>
    <w:p>
      <w:pPr>
        <w:jc w:val="both"/>
        <w:ind w:left="1240" w:right="319" w:firstLine="346"/>
        <w:spacing w:after="0" w:line="291" w:lineRule="auto"/>
        <w:tabs>
          <w:tab w:leader="none" w:pos="180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301" w:lineRule="exact"/>
        <w:rPr>
          <w:rFonts w:ascii="Times New Roman" w:cs="Times New Roman" w:eastAsia="Times New Roman" w:hAnsi="Times New Roman"/>
          <w:sz w:val="14"/>
          <w:szCs w:val="14"/>
          <w:color w:val="auto"/>
        </w:rPr>
      </w:pPr>
    </w:p>
    <w:p>
      <w:pPr>
        <w:ind w:left="1240" w:right="519" w:firstLine="346"/>
        <w:spacing w:after="0" w:line="298" w:lineRule="auto"/>
        <w:tabs>
          <w:tab w:leader="none" w:pos="184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17" w:lineRule="exact"/>
        <w:rPr>
          <w:sz w:val="20"/>
          <w:szCs w:val="20"/>
          <w:color w:val="auto"/>
        </w:rPr>
      </w:pPr>
    </w:p>
    <w:p>
      <w:pPr>
        <w:ind w:left="1240" w:right="299"/>
        <w:spacing w:after="0" w:line="272"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above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a part of the registration statement.</w:t>
      </w:r>
    </w:p>
    <w:p>
      <w:pPr>
        <w:spacing w:after="0" w:line="137" w:lineRule="exact"/>
        <w:rPr>
          <w:sz w:val="20"/>
          <w:szCs w:val="20"/>
          <w:color w:val="auto"/>
        </w:rPr>
      </w:pPr>
    </w:p>
    <w:p>
      <w:pPr>
        <w:ind w:left="1240" w:right="219" w:firstLine="346"/>
        <w:spacing w:after="0" w:line="278" w:lineRule="auto"/>
        <w:tabs>
          <w:tab w:leader="none" w:pos="17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2" w:lineRule="exact"/>
        <w:rPr>
          <w:rFonts w:ascii="Times New Roman" w:cs="Times New Roman" w:eastAsia="Times New Roman" w:hAnsi="Times New Roman"/>
          <w:sz w:val="14"/>
          <w:szCs w:val="14"/>
          <w:color w:val="auto"/>
        </w:rPr>
      </w:pPr>
    </w:p>
    <w:p>
      <w:pPr>
        <w:ind w:left="1240" w:right="619" w:firstLine="346"/>
        <w:spacing w:after="0" w:line="298" w:lineRule="auto"/>
        <w:tabs>
          <w:tab w:leader="none" w:pos="17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1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(5) That, for the purpose of determining liability under the Securities Act to any purchaser:</w:t>
      </w:r>
    </w:p>
    <w:p>
      <w:pPr>
        <w:spacing w:after="0" w:line="98" w:lineRule="exact"/>
        <w:rPr>
          <w:sz w:val="20"/>
          <w:szCs w:val="20"/>
          <w:color w:val="auto"/>
        </w:rPr>
      </w:pPr>
    </w:p>
    <w:p>
      <w:pPr>
        <w:ind w:left="1240" w:right="339" w:firstLine="346"/>
        <w:spacing w:after="0" w:line="298" w:lineRule="auto"/>
        <w:tabs>
          <w:tab w:leader="none" w:pos="182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9" w:lineRule="exact"/>
        <w:rPr>
          <w:rFonts w:ascii="Times New Roman" w:cs="Times New Roman" w:eastAsia="Times New Roman" w:hAnsi="Times New Roman"/>
          <w:sz w:val="14"/>
          <w:szCs w:val="14"/>
          <w:color w:val="auto"/>
        </w:rPr>
      </w:pPr>
    </w:p>
    <w:p>
      <w:pPr>
        <w:ind w:left="1240" w:right="99" w:firstLine="346"/>
        <w:spacing w:after="0" w:line="264" w:lineRule="auto"/>
        <w:tabs>
          <w:tab w:leader="none" w:pos="182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9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3" w:lineRule="exact"/>
        <w:rPr>
          <w:sz w:val="20"/>
          <w:szCs w:val="20"/>
          <w:color w:val="auto"/>
        </w:rPr>
      </w:pPr>
    </w:p>
    <w:p>
      <w:pPr>
        <w:ind w:left="1240" w:right="219"/>
        <w:spacing w:after="0" w:line="271" w:lineRule="auto"/>
        <w:rPr>
          <w:sz w:val="20"/>
          <w:szCs w:val="20"/>
          <w:color w:val="auto"/>
        </w:rPr>
      </w:pPr>
      <w:r>
        <w:rPr>
          <w:rFonts w:ascii="Times New Roman" w:cs="Times New Roman" w:eastAsia="Times New Roman" w:hAnsi="Times New Roman"/>
          <w:sz w:val="14"/>
          <w:szCs w:val="14"/>
          <w:color w:val="auto"/>
        </w:rPr>
        <w:t>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8" w:lineRule="exact"/>
        <w:rPr>
          <w:sz w:val="20"/>
          <w:szCs w:val="20"/>
          <w:color w:val="auto"/>
        </w:rPr>
      </w:pPr>
    </w:p>
    <w:p>
      <w:pPr>
        <w:ind w:left="1240" w:right="619" w:firstLine="346"/>
        <w:spacing w:after="0" w:line="298" w:lineRule="auto"/>
        <w:tabs>
          <w:tab w:leader="none" w:pos="179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33" w:lineRule="exact"/>
        <w:rPr>
          <w:sz w:val="20"/>
          <w:szCs w:val="20"/>
          <w:color w:val="auto"/>
        </w:rPr>
      </w:pPr>
    </w:p>
    <w:p>
      <w:pPr>
        <w:ind w:left="1240" w:right="219" w:firstLine="353"/>
        <w:spacing w:after="0" w:line="271"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1" w:lineRule="exact"/>
        <w:rPr>
          <w:sz w:val="20"/>
          <w:szCs w:val="20"/>
          <w:color w:val="auto"/>
        </w:rPr>
      </w:pPr>
    </w:p>
    <w:p>
      <w:pPr>
        <w:ind w:left="1760" w:hanging="174"/>
        <w:spacing w:after="0"/>
        <w:tabs>
          <w:tab w:leader="none" w:pos="1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84" w:lineRule="exact"/>
        <w:rPr>
          <w:rFonts w:ascii="Times New Roman" w:cs="Times New Roman" w:eastAsia="Times New Roman" w:hAnsi="Times New Roman"/>
          <w:sz w:val="14"/>
          <w:szCs w:val="14"/>
          <w:color w:val="auto"/>
        </w:rPr>
      </w:pPr>
    </w:p>
    <w:p>
      <w:pPr>
        <w:ind w:left="1240" w:right="639" w:firstLine="346"/>
        <w:spacing w:after="0" w:line="298" w:lineRule="auto"/>
        <w:tabs>
          <w:tab w:leader="none" w:pos="180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19" w:lineRule="exact"/>
        <w:rPr>
          <w:rFonts w:ascii="Times New Roman" w:cs="Times New Roman" w:eastAsia="Times New Roman" w:hAnsi="Times New Roman"/>
          <w:sz w:val="14"/>
          <w:szCs w:val="14"/>
          <w:color w:val="auto"/>
        </w:rPr>
      </w:pPr>
    </w:p>
    <w:p>
      <w:pPr>
        <w:ind w:left="1240" w:right="139" w:firstLine="346"/>
        <w:spacing w:after="0" w:line="298" w:lineRule="auto"/>
        <w:tabs>
          <w:tab w:leader="none" w:pos="184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9" w:lineRule="exact"/>
        <w:rPr>
          <w:rFonts w:ascii="Times New Roman" w:cs="Times New Roman" w:eastAsia="Times New Roman" w:hAnsi="Times New Roman"/>
          <w:sz w:val="14"/>
          <w:szCs w:val="14"/>
          <w:color w:val="auto"/>
        </w:rPr>
      </w:pPr>
    </w:p>
    <w:p>
      <w:pPr>
        <w:ind w:left="1840" w:hanging="254"/>
        <w:spacing w:after="0"/>
        <w:tabs>
          <w:tab w:leader="none" w:pos="1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5" w:lineRule="exact"/>
        <w:rPr>
          <w:sz w:val="20"/>
          <w:szCs w:val="20"/>
          <w:color w:val="auto"/>
        </w:rPr>
      </w:pPr>
    </w:p>
    <w:p>
      <w:pPr>
        <w:ind w:left="1240" w:right="119" w:firstLine="346"/>
        <w:spacing w:after="0" w:line="269" w:lineRule="auto"/>
        <w:tabs>
          <w:tab w:leader="none" w:pos="17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offering thereof.</w:t>
      </w:r>
    </w:p>
    <w:p>
      <w:pPr>
        <w:spacing w:after="0" w:line="316" w:lineRule="exact"/>
        <w:rPr>
          <w:sz w:val="20"/>
          <w:szCs w:val="20"/>
          <w:color w:val="auto"/>
        </w:rPr>
      </w:pPr>
    </w:p>
    <w:p>
      <w:pPr>
        <w:ind w:left="1240" w:right="239" w:firstLine="346"/>
        <w:spacing w:after="0" w:line="263" w:lineRule="auto"/>
        <w:tabs>
          <w:tab w:leader="none" w:pos="17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7" w:lineRule="exact"/>
        <w:rPr>
          <w:sz w:val="20"/>
          <w:szCs w:val="20"/>
          <w:color w:val="auto"/>
        </w:rPr>
      </w:pPr>
    </w:p>
    <w:p>
      <w:pPr>
        <w:ind w:left="1240" w:right="439" w:firstLine="353"/>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Santa Clara, California, on May 13, 2026.</w:t>
      </w:r>
    </w:p>
    <w:p>
      <w:pPr>
        <w:spacing w:after="0" w:line="15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PDF Solutions, Inc.</w:t>
      </w:r>
    </w:p>
    <w:p>
      <w:pPr>
        <w:spacing w:after="0" w:line="187" w:lineRule="exact"/>
        <w:rPr>
          <w:sz w:val="20"/>
          <w:szCs w:val="20"/>
          <w:color w:val="auto"/>
        </w:rPr>
      </w:pPr>
    </w:p>
    <w:tbl>
      <w:tblPr>
        <w:tblLayout w:type="fixed"/>
        <w:tblInd w:w="6540" w:type="dxa"/>
        <w:tblCellMar>
          <w:top w:w="0" w:type="dxa"/>
          <w:left w:w="0" w:type="dxa"/>
          <w:bottom w:w="0" w:type="dxa"/>
          <w:right w:w="0" w:type="dxa"/>
        </w:tblCellMar>
      </w:tblPr>
      <w:tr>
        <w:trPr>
          <w:trHeight w:val="188"/>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John K. Kibarian</w:t>
            </w:r>
          </w:p>
        </w:tc>
      </w:tr>
      <w:tr>
        <w:trPr>
          <w:trHeight w:val="149"/>
        </w:trPr>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Name:</w:t>
            </w:r>
          </w:p>
        </w:tc>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John K. Kibarian</w:t>
            </w:r>
          </w:p>
        </w:tc>
      </w:tr>
      <w:tr>
        <w:trPr>
          <w:trHeight w:val="188"/>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3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7" w:lineRule="exact"/>
        <w:rPr>
          <w:sz w:val="20"/>
          <w:szCs w:val="20"/>
          <w:color w:val="auto"/>
        </w:rPr>
      </w:pPr>
    </w:p>
    <w:p>
      <w:pPr>
        <w:ind w:left="1240" w:right="119" w:firstLine="353"/>
        <w:spacing w:after="0" w:line="262" w:lineRule="auto"/>
        <w:rPr>
          <w:sz w:val="20"/>
          <w:szCs w:val="20"/>
          <w:color w:val="auto"/>
        </w:rPr>
      </w:pPr>
      <w:r>
        <w:rPr>
          <w:rFonts w:ascii="Times New Roman" w:cs="Times New Roman" w:eastAsia="Times New Roman" w:hAnsi="Times New Roman"/>
          <w:sz w:val="14"/>
          <w:szCs w:val="14"/>
          <w:color w:val="auto"/>
        </w:rPr>
        <w:t>Each of the undersigned officers and directors of the registrant hereby severally constitutes and appoints John K. Kibarian and Adnan Raza,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in accordance with the laws of the State of Delaware and applicable federal securities laws.</w:t>
      </w:r>
    </w:p>
    <w:p>
      <w:pPr>
        <w:spacing w:after="0" w:line="145" w:lineRule="exact"/>
        <w:rPr>
          <w:sz w:val="20"/>
          <w:szCs w:val="20"/>
          <w:color w:val="auto"/>
        </w:rPr>
      </w:pPr>
    </w:p>
    <w:p>
      <w:pPr>
        <w:ind w:left="1240" w:right="119" w:firstLine="353"/>
        <w:spacing w:after="0" w:line="29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36" w:lineRule="exact"/>
        <w:rPr>
          <w:sz w:val="20"/>
          <w:szCs w:val="20"/>
          <w:color w:val="auto"/>
        </w:rPr>
      </w:pPr>
    </w:p>
    <w:tbl>
      <w:tblPr>
        <w:tblLayout w:type="fixed"/>
        <w:tblInd w:w="1240" w:type="dxa"/>
        <w:tblCellMar>
          <w:top w:w="0" w:type="dxa"/>
          <w:left w:w="0" w:type="dxa"/>
          <w:bottom w:w="0" w:type="dxa"/>
          <w:right w:w="0" w:type="dxa"/>
        </w:tblCellMar>
      </w:tblPr>
      <w:tr>
        <w:trPr>
          <w:trHeight w:val="151"/>
        </w:trPr>
        <w:tc>
          <w:tcPr>
            <w:tcW w:w="3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Signature</w:t>
            </w:r>
          </w:p>
        </w:tc>
        <w:tc>
          <w:tcPr>
            <w:tcW w:w="3720" w:type="dxa"/>
            <w:vAlign w:val="bottom"/>
          </w:tcPr>
          <w:p>
            <w:pPr>
              <w:jc w:val="center"/>
              <w:ind w:left="9"/>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1400" w:type="dxa"/>
            <w:vAlign w:val="bottom"/>
          </w:tcPr>
          <w:p>
            <w:pPr>
              <w:jc w:val="center"/>
              <w:ind w:left="510"/>
              <w:spacing w:after="0"/>
              <w:rPr>
                <w:sz w:val="20"/>
                <w:szCs w:val="20"/>
                <w:color w:val="auto"/>
              </w:rPr>
            </w:pPr>
            <w:r>
              <w:rPr>
                <w:rFonts w:ascii="Times New Roman" w:cs="Times New Roman" w:eastAsia="Times New Roman" w:hAnsi="Times New Roman"/>
                <w:sz w:val="12"/>
                <w:szCs w:val="12"/>
                <w:b w:val="1"/>
                <w:bCs w:val="1"/>
                <w:color w:val="auto"/>
                <w:w w:val="91"/>
              </w:rPr>
              <w:t>Date</w:t>
            </w:r>
          </w:p>
        </w:tc>
      </w:tr>
      <w:tr>
        <w:trPr>
          <w:trHeight w:val="334"/>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John K. Kibarian</w:t>
            </w:r>
          </w:p>
        </w:tc>
        <w:tc>
          <w:tcPr>
            <w:tcW w:w="37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Director, President and</w:t>
            </w:r>
          </w:p>
        </w:tc>
        <w:tc>
          <w:tcPr>
            <w:tcW w:w="14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rPr>
              <w:t>May 13, 2026</w:t>
            </w:r>
          </w:p>
        </w:tc>
      </w:tr>
      <w:tr>
        <w:trPr>
          <w:trHeight w:val="138"/>
        </w:trPr>
        <w:tc>
          <w:tcPr>
            <w:tcW w:w="33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John K. Kibarian</w:t>
            </w:r>
          </w:p>
        </w:tc>
        <w:tc>
          <w:tcPr>
            <w:tcW w:w="3720" w:type="dxa"/>
            <w:vAlign w:val="bottom"/>
          </w:tcPr>
          <w:p>
            <w:pPr>
              <w:jc w:val="center"/>
              <w:ind w:left="29"/>
              <w:spacing w:after="0" w:line="139" w:lineRule="exact"/>
              <w:rPr>
                <w:sz w:val="20"/>
                <w:szCs w:val="20"/>
                <w:color w:val="auto"/>
              </w:rPr>
            </w:pPr>
            <w:r>
              <w:rPr>
                <w:rFonts w:ascii="Times New Roman" w:cs="Times New Roman" w:eastAsia="Times New Roman" w:hAnsi="Times New Roman"/>
                <w:sz w:val="14"/>
                <w:szCs w:val="14"/>
                <w:color w:val="auto"/>
              </w:rPr>
              <w:t>Chief Executive Officer</w:t>
            </w:r>
          </w:p>
        </w:tc>
        <w:tc>
          <w:tcPr>
            <w:tcW w:w="1400" w:type="dxa"/>
            <w:vAlign w:val="bottom"/>
          </w:tcPr>
          <w:p>
            <w:pPr>
              <w:spacing w:after="0"/>
              <w:rPr>
                <w:sz w:val="12"/>
                <w:szCs w:val="12"/>
                <w:color w:val="auto"/>
              </w:rPr>
            </w:pPr>
          </w:p>
        </w:tc>
      </w:tr>
      <w:tr>
        <w:trPr>
          <w:trHeight w:val="188"/>
        </w:trPr>
        <w:tc>
          <w:tcPr>
            <w:tcW w:w="3300" w:type="dxa"/>
            <w:vAlign w:val="bottom"/>
          </w:tcPr>
          <w:p>
            <w:pPr>
              <w:spacing w:after="0"/>
              <w:rPr>
                <w:sz w:val="16"/>
                <w:szCs w:val="16"/>
                <w:color w:val="auto"/>
              </w:rPr>
            </w:pPr>
          </w:p>
        </w:tc>
        <w:tc>
          <w:tcPr>
            <w:tcW w:w="37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00" w:type="dxa"/>
            <w:vAlign w:val="bottom"/>
          </w:tcPr>
          <w:p>
            <w:pPr>
              <w:spacing w:after="0"/>
              <w:rPr>
                <w:sz w:val="16"/>
                <w:szCs w:val="16"/>
                <w:color w:val="auto"/>
              </w:rPr>
            </w:pPr>
          </w:p>
        </w:tc>
      </w:tr>
      <w:tr>
        <w:trPr>
          <w:trHeight w:val="356"/>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Adnan Raza</w:t>
            </w:r>
          </w:p>
        </w:tc>
        <w:tc>
          <w:tcPr>
            <w:tcW w:w="37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Executive Vice President,</w:t>
            </w:r>
          </w:p>
        </w:tc>
        <w:tc>
          <w:tcPr>
            <w:tcW w:w="14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rPr>
              <w:t>May 13, 2026</w:t>
            </w:r>
          </w:p>
        </w:tc>
      </w:tr>
      <w:tr>
        <w:trPr>
          <w:trHeight w:val="138"/>
        </w:trPr>
        <w:tc>
          <w:tcPr>
            <w:tcW w:w="33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Adnan Raza</w:t>
            </w:r>
          </w:p>
        </w:tc>
        <w:tc>
          <w:tcPr>
            <w:tcW w:w="3720" w:type="dxa"/>
            <w:vAlign w:val="bottom"/>
          </w:tcPr>
          <w:p>
            <w:pPr>
              <w:jc w:val="center"/>
              <w:ind w:left="9"/>
              <w:spacing w:after="0" w:line="139" w:lineRule="exact"/>
              <w:rPr>
                <w:sz w:val="20"/>
                <w:szCs w:val="20"/>
                <w:color w:val="auto"/>
              </w:rPr>
            </w:pPr>
            <w:r>
              <w:rPr>
                <w:rFonts w:ascii="Times New Roman" w:cs="Times New Roman" w:eastAsia="Times New Roman" w:hAnsi="Times New Roman"/>
                <w:sz w:val="14"/>
                <w:szCs w:val="14"/>
                <w:color w:val="auto"/>
              </w:rPr>
              <w:t>Finance and Chief Financial Officer</w:t>
            </w:r>
          </w:p>
        </w:tc>
        <w:tc>
          <w:tcPr>
            <w:tcW w:w="1400" w:type="dxa"/>
            <w:vAlign w:val="bottom"/>
          </w:tcPr>
          <w:p>
            <w:pPr>
              <w:spacing w:after="0"/>
              <w:rPr>
                <w:sz w:val="12"/>
                <w:szCs w:val="12"/>
                <w:color w:val="auto"/>
              </w:rPr>
            </w:pPr>
          </w:p>
        </w:tc>
      </w:tr>
      <w:tr>
        <w:trPr>
          <w:trHeight w:val="188"/>
        </w:trPr>
        <w:tc>
          <w:tcPr>
            <w:tcW w:w="3300" w:type="dxa"/>
            <w:vAlign w:val="bottom"/>
          </w:tcPr>
          <w:p>
            <w:pPr>
              <w:spacing w:after="0"/>
              <w:rPr>
                <w:sz w:val="16"/>
                <w:szCs w:val="16"/>
                <w:color w:val="auto"/>
              </w:rPr>
            </w:pPr>
          </w:p>
        </w:tc>
        <w:tc>
          <w:tcPr>
            <w:tcW w:w="37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00" w:type="dxa"/>
            <w:vAlign w:val="bottom"/>
          </w:tcPr>
          <w:p>
            <w:pPr>
              <w:spacing w:after="0"/>
              <w:rPr>
                <w:sz w:val="16"/>
                <w:szCs w:val="16"/>
                <w:color w:val="auto"/>
              </w:rPr>
            </w:pPr>
          </w:p>
        </w:tc>
      </w:tr>
      <w:tr>
        <w:trPr>
          <w:trHeight w:val="356"/>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Joseph R. Bronson</w:t>
            </w:r>
          </w:p>
        </w:tc>
        <w:tc>
          <w:tcPr>
            <w:tcW w:w="37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Lead Independent Director</w:t>
            </w:r>
          </w:p>
        </w:tc>
        <w:tc>
          <w:tcPr>
            <w:tcW w:w="14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rPr>
              <w:t>May 13, 2026</w:t>
            </w:r>
          </w:p>
        </w:tc>
      </w:tr>
      <w:tr>
        <w:trPr>
          <w:trHeight w:val="179"/>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Joseph R. Bronson</w:t>
            </w:r>
          </w:p>
        </w:tc>
        <w:tc>
          <w:tcPr>
            <w:tcW w:w="37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41"/>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Chi-Foon Chan</w:t>
            </w:r>
          </w:p>
        </w:tc>
        <w:tc>
          <w:tcPr>
            <w:tcW w:w="37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rPr>
              <w:t>May 13, 2026</w:t>
            </w:r>
          </w:p>
        </w:tc>
      </w:tr>
      <w:tr>
        <w:trPr>
          <w:trHeight w:val="179"/>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Chi-Foon Chan</w:t>
            </w:r>
          </w:p>
        </w:tc>
        <w:tc>
          <w:tcPr>
            <w:tcW w:w="37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41"/>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Nancy Erba</w:t>
            </w:r>
          </w:p>
        </w:tc>
        <w:tc>
          <w:tcPr>
            <w:tcW w:w="37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rPr>
              <w:t>May 13, 2026</w:t>
            </w:r>
          </w:p>
        </w:tc>
      </w:tr>
      <w:tr>
        <w:trPr>
          <w:trHeight w:val="179"/>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Nancy Erba</w:t>
            </w:r>
          </w:p>
        </w:tc>
        <w:tc>
          <w:tcPr>
            <w:tcW w:w="372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9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Table of Contents</w:t>
      </w:r>
    </w:p>
    <w:p>
      <w:pPr>
        <w:spacing w:after="0" w:line="258" w:lineRule="exact"/>
        <w:rPr>
          <w:sz w:val="20"/>
          <w:szCs w:val="20"/>
          <w:color w:val="auto"/>
        </w:rPr>
      </w:pPr>
    </w:p>
    <w:tbl>
      <w:tblPr>
        <w:tblLayout w:type="fixed"/>
        <w:tblInd w:w="1240" w:type="dxa"/>
        <w:tblCellMar>
          <w:top w:w="0" w:type="dxa"/>
          <w:left w:w="0" w:type="dxa"/>
          <w:bottom w:w="0" w:type="dxa"/>
          <w:right w:w="0" w:type="dxa"/>
        </w:tblCellMar>
      </w:tblPr>
      <w:tr>
        <w:trPr>
          <w:trHeight w:val="151"/>
        </w:trPr>
        <w:tc>
          <w:tcPr>
            <w:tcW w:w="3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Signature</w:t>
            </w:r>
          </w:p>
        </w:tc>
        <w:tc>
          <w:tcPr>
            <w:tcW w:w="3220" w:type="dxa"/>
            <w:vAlign w:val="bottom"/>
          </w:tcPr>
          <w:p>
            <w:pPr>
              <w:jc w:val="center"/>
              <w:ind w:left="511"/>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1900" w:type="dxa"/>
            <w:vAlign w:val="bottom"/>
          </w:tcPr>
          <w:p>
            <w:pPr>
              <w:jc w:val="center"/>
              <w:ind w:left="1011"/>
              <w:spacing w:after="0"/>
              <w:rPr>
                <w:sz w:val="20"/>
                <w:szCs w:val="20"/>
                <w:color w:val="auto"/>
              </w:rPr>
            </w:pPr>
            <w:r>
              <w:rPr>
                <w:rFonts w:ascii="Times New Roman" w:cs="Times New Roman" w:eastAsia="Times New Roman" w:hAnsi="Times New Roman"/>
                <w:sz w:val="12"/>
                <w:szCs w:val="12"/>
                <w:b w:val="1"/>
                <w:bCs w:val="1"/>
                <w:color w:val="auto"/>
                <w:w w:val="91"/>
              </w:rPr>
              <w:t>Date</w:t>
            </w:r>
          </w:p>
        </w:tc>
      </w:tr>
      <w:tr>
        <w:trPr>
          <w:trHeight w:val="334"/>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Gustafson</w:t>
            </w:r>
          </w:p>
        </w:tc>
        <w:tc>
          <w:tcPr>
            <w:tcW w:w="322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jc w:val="center"/>
              <w:ind w:left="1011"/>
              <w:spacing w:after="0"/>
              <w:rPr>
                <w:sz w:val="20"/>
                <w:szCs w:val="20"/>
                <w:color w:val="auto"/>
              </w:rPr>
            </w:pPr>
            <w:r>
              <w:rPr>
                <w:rFonts w:ascii="Times New Roman" w:cs="Times New Roman" w:eastAsia="Times New Roman" w:hAnsi="Times New Roman"/>
                <w:sz w:val="14"/>
                <w:szCs w:val="14"/>
                <w:color w:val="auto"/>
              </w:rPr>
              <w:t>May 13, 2026</w:t>
            </w:r>
          </w:p>
        </w:tc>
      </w:tr>
      <w:tr>
        <w:trPr>
          <w:trHeight w:val="179"/>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Gustafson</w:t>
            </w:r>
          </w:p>
        </w:tc>
        <w:tc>
          <w:tcPr>
            <w:tcW w:w="32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1"/>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Ye Jane Li</w:t>
            </w:r>
          </w:p>
        </w:tc>
        <w:tc>
          <w:tcPr>
            <w:tcW w:w="322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jc w:val="center"/>
              <w:ind w:left="1011"/>
              <w:spacing w:after="0"/>
              <w:rPr>
                <w:sz w:val="20"/>
                <w:szCs w:val="20"/>
                <w:color w:val="auto"/>
              </w:rPr>
            </w:pPr>
            <w:r>
              <w:rPr>
                <w:rFonts w:ascii="Times New Roman" w:cs="Times New Roman" w:eastAsia="Times New Roman" w:hAnsi="Times New Roman"/>
                <w:sz w:val="14"/>
                <w:szCs w:val="14"/>
                <w:color w:val="auto"/>
              </w:rPr>
              <w:t>May 13, 2026</w:t>
            </w:r>
          </w:p>
        </w:tc>
      </w:tr>
      <w:tr>
        <w:trPr>
          <w:trHeight w:val="179"/>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Ye Jane Li</w:t>
            </w:r>
          </w:p>
        </w:tc>
        <w:tc>
          <w:tcPr>
            <w:tcW w:w="32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1"/>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Kimon Michaels</w:t>
            </w:r>
          </w:p>
        </w:tc>
        <w:tc>
          <w:tcPr>
            <w:tcW w:w="322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jc w:val="center"/>
              <w:ind w:left="1011"/>
              <w:spacing w:after="0"/>
              <w:rPr>
                <w:sz w:val="20"/>
                <w:szCs w:val="20"/>
                <w:color w:val="auto"/>
              </w:rPr>
            </w:pPr>
            <w:r>
              <w:rPr>
                <w:rFonts w:ascii="Times New Roman" w:cs="Times New Roman" w:eastAsia="Times New Roman" w:hAnsi="Times New Roman"/>
                <w:sz w:val="14"/>
                <w:szCs w:val="14"/>
                <w:color w:val="auto"/>
              </w:rPr>
              <w:t>May 13, 2026</w:t>
            </w:r>
          </w:p>
        </w:tc>
      </w:tr>
      <w:tr>
        <w:trPr>
          <w:trHeight w:val="179"/>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Kimon Michaels</w:t>
            </w:r>
          </w:p>
        </w:tc>
        <w:tc>
          <w:tcPr>
            <w:tcW w:w="32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1"/>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Shuo Zhang.</w:t>
            </w:r>
          </w:p>
        </w:tc>
        <w:tc>
          <w:tcPr>
            <w:tcW w:w="322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jc w:val="center"/>
              <w:ind w:left="1011"/>
              <w:spacing w:after="0"/>
              <w:rPr>
                <w:sz w:val="20"/>
                <w:szCs w:val="20"/>
                <w:color w:val="auto"/>
              </w:rPr>
            </w:pPr>
            <w:r>
              <w:rPr>
                <w:rFonts w:ascii="Times New Roman" w:cs="Times New Roman" w:eastAsia="Times New Roman" w:hAnsi="Times New Roman"/>
                <w:sz w:val="14"/>
                <w:szCs w:val="14"/>
                <w:color w:val="auto"/>
              </w:rPr>
              <w:t>May 13, 2026</w:t>
            </w:r>
          </w:p>
        </w:tc>
      </w:tr>
      <w:tr>
        <w:trPr>
          <w:trHeight w:val="179"/>
        </w:trPr>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Shuo Zhang</w:t>
            </w:r>
          </w:p>
        </w:tc>
        <w:tc>
          <w:tcPr>
            <w:tcW w:w="3220" w:type="dxa"/>
            <w:vAlign w:val="bottom"/>
          </w:tcPr>
          <w:p>
            <w:pPr>
              <w:spacing w:after="0"/>
              <w:rPr>
                <w:sz w:val="15"/>
                <w:szCs w:val="15"/>
                <w:color w:val="auto"/>
              </w:rPr>
            </w:pPr>
          </w:p>
        </w:tc>
        <w:tc>
          <w:tcPr>
            <w:tcW w:w="1900" w:type="dxa"/>
            <w:vAlign w:val="bottom"/>
          </w:tcPr>
          <w:p>
            <w:pPr>
              <w:spacing w:after="0"/>
              <w:rPr>
                <w:sz w:val="15"/>
                <w:szCs w:val="15"/>
                <w:color w:val="auto"/>
              </w:rPr>
            </w:pPr>
          </w:p>
        </w:tc>
      </w:tr>
    </w:tbl>
    <w:p>
      <w:pPr>
        <w:spacing w:after="0" w:line="3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93" w:right="1440" w:bottom="1440" w:gutter="0" w:footer="0" w:header="0"/>
        </w:sectPr>
      </w:pPr>
    </w:p>
    <w:bookmarkStart w:id="23" w:name="page24"/>
    <w:bookmarkEnd w:id="23"/>
    <w:tbl>
      <w:tblPr>
        <w:tblLayout w:type="fixed"/>
        <w:tblInd w:w="10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74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Exhibit 5.1</w:t>
            </w:r>
          </w:p>
        </w:tc>
      </w:tr>
      <w:tr>
        <w:trPr>
          <w:trHeight w:val="352"/>
        </w:trPr>
        <w:tc>
          <w:tcPr>
            <w:tcW w:w="3900" w:type="dxa"/>
            <w:vAlign w:val="bottom"/>
          </w:tcPr>
          <w:p>
            <w:pPr>
              <w:spacing w:after="0"/>
              <w:rPr>
                <w:sz w:val="24"/>
                <w:szCs w:val="24"/>
                <w:color w:val="auto"/>
              </w:rPr>
            </w:pPr>
          </w:p>
        </w:tc>
        <w:tc>
          <w:tcPr>
            <w:tcW w:w="4920" w:type="dxa"/>
            <w:vAlign w:val="bottom"/>
            <w:gridSpan w:val="2"/>
          </w:tcPr>
          <w:p>
            <w:pPr>
              <w:ind w:left="2200"/>
              <w:spacing w:after="0"/>
              <w:rPr>
                <w:sz w:val="20"/>
                <w:szCs w:val="20"/>
                <w:color w:val="auto"/>
              </w:rPr>
            </w:pPr>
            <w:r>
              <w:rPr>
                <w:rFonts w:ascii="Times New Roman" w:cs="Times New Roman" w:eastAsia="Times New Roman" w:hAnsi="Times New Roman"/>
                <w:sz w:val="14"/>
                <w:szCs w:val="14"/>
                <w:color w:val="auto"/>
              </w:rPr>
              <w:t>801 Jefferson Avenue, Suite 300</w:t>
            </w:r>
          </w:p>
        </w:tc>
      </w:tr>
      <w:tr>
        <w:trPr>
          <w:trHeight w:val="173"/>
        </w:trPr>
        <w:tc>
          <w:tcPr>
            <w:tcW w:w="3900" w:type="dxa"/>
            <w:vAlign w:val="bottom"/>
          </w:tcPr>
          <w:p>
            <w:pPr>
              <w:spacing w:after="0"/>
              <w:rPr>
                <w:sz w:val="15"/>
                <w:szCs w:val="15"/>
                <w:color w:val="auto"/>
              </w:rPr>
            </w:pPr>
          </w:p>
        </w:tc>
        <w:tc>
          <w:tcPr>
            <w:tcW w:w="4920" w:type="dxa"/>
            <w:vAlign w:val="bottom"/>
            <w:gridSpan w:val="2"/>
          </w:tcPr>
          <w:p>
            <w:pPr>
              <w:ind w:left="2200"/>
              <w:spacing w:after="0"/>
              <w:rPr>
                <w:sz w:val="20"/>
                <w:szCs w:val="20"/>
                <w:color w:val="auto"/>
              </w:rPr>
            </w:pPr>
            <w:r>
              <w:rPr>
                <w:rFonts w:ascii="Times New Roman" w:cs="Times New Roman" w:eastAsia="Times New Roman" w:hAnsi="Times New Roman"/>
                <w:sz w:val="14"/>
                <w:szCs w:val="14"/>
                <w:color w:val="auto"/>
              </w:rPr>
              <w:t>Redwood City, California 94063</w:t>
            </w:r>
          </w:p>
        </w:tc>
      </w:tr>
      <w:tr>
        <w:trPr>
          <w:trHeight w:val="173"/>
        </w:trPr>
        <w:tc>
          <w:tcPr>
            <w:tcW w:w="3900" w:type="dxa"/>
            <w:vAlign w:val="bottom"/>
          </w:tcPr>
          <w:p>
            <w:pPr>
              <w:spacing w:after="0"/>
              <w:rPr>
                <w:sz w:val="15"/>
                <w:szCs w:val="15"/>
                <w:color w:val="auto"/>
              </w:rPr>
            </w:pPr>
          </w:p>
        </w:tc>
        <w:tc>
          <w:tcPr>
            <w:tcW w:w="4920" w:type="dxa"/>
            <w:vAlign w:val="bottom"/>
            <w:gridSpan w:val="2"/>
          </w:tcPr>
          <w:p>
            <w:pPr>
              <w:ind w:left="2200"/>
              <w:spacing w:after="0"/>
              <w:rPr>
                <w:sz w:val="20"/>
                <w:szCs w:val="20"/>
                <w:color w:val="auto"/>
              </w:rPr>
            </w:pPr>
            <w:r>
              <w:rPr>
                <w:rFonts w:ascii="Times New Roman" w:cs="Times New Roman" w:eastAsia="Times New Roman" w:hAnsi="Times New Roman"/>
                <w:sz w:val="14"/>
                <w:szCs w:val="14"/>
                <w:color w:val="auto"/>
              </w:rPr>
              <w:t>Tel: +1.650.328.4600 Fax: +1.650.463.2600</w:t>
            </w:r>
          </w:p>
        </w:tc>
      </w:tr>
      <w:tr>
        <w:trPr>
          <w:trHeight w:val="188"/>
        </w:trPr>
        <w:tc>
          <w:tcPr>
            <w:tcW w:w="3900" w:type="dxa"/>
            <w:vAlign w:val="bottom"/>
          </w:tcPr>
          <w:p>
            <w:pPr>
              <w:spacing w:after="0"/>
              <w:rPr>
                <w:sz w:val="16"/>
                <w:szCs w:val="16"/>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www.lw.com</w:t>
            </w:r>
          </w:p>
        </w:tc>
        <w:tc>
          <w:tcPr>
            <w:tcW w:w="1740" w:type="dxa"/>
            <w:vAlign w:val="bottom"/>
          </w:tcPr>
          <w:p>
            <w:pPr>
              <w:spacing w:after="0"/>
              <w:rPr>
                <w:sz w:val="16"/>
                <w:szCs w:val="16"/>
                <w:color w:val="auto"/>
              </w:rPr>
            </w:pPr>
          </w:p>
        </w:tc>
      </w:tr>
      <w:tr>
        <w:trPr>
          <w:trHeight w:val="244"/>
        </w:trPr>
        <w:tc>
          <w:tcPr>
            <w:tcW w:w="3900" w:type="dxa"/>
            <w:vAlign w:val="bottom"/>
          </w:tcPr>
          <w:p>
            <w:pPr>
              <w:spacing w:after="0"/>
              <w:rPr>
                <w:sz w:val="21"/>
                <w:szCs w:val="21"/>
                <w:color w:val="auto"/>
              </w:rPr>
            </w:pPr>
          </w:p>
        </w:tc>
        <w:tc>
          <w:tcPr>
            <w:tcW w:w="4920" w:type="dxa"/>
            <w:vAlign w:val="bottom"/>
            <w:gridSpan w:val="2"/>
          </w:tcPr>
          <w:p>
            <w:pPr>
              <w:ind w:left="2200"/>
              <w:spacing w:after="0"/>
              <w:rPr>
                <w:sz w:val="20"/>
                <w:szCs w:val="20"/>
                <w:color w:val="auto"/>
              </w:rPr>
            </w:pPr>
            <w:r>
              <w:rPr>
                <w:rFonts w:ascii="Times New Roman" w:cs="Times New Roman" w:eastAsia="Times New Roman" w:hAnsi="Times New Roman"/>
                <w:sz w:val="14"/>
                <w:szCs w:val="14"/>
                <w:color w:val="auto"/>
              </w:rPr>
              <w:t>FIRM / AFFILIATE OFFICES</w:t>
            </w:r>
          </w:p>
        </w:tc>
      </w:tr>
      <w:tr>
        <w:trPr>
          <w:trHeight w:val="173"/>
        </w:trPr>
        <w:tc>
          <w:tcPr>
            <w:tcW w:w="3900" w:type="dxa"/>
            <w:vAlign w:val="bottom"/>
          </w:tcPr>
          <w:p>
            <w:pPr>
              <w:spacing w:after="0"/>
              <w:rPr>
                <w:sz w:val="15"/>
                <w:szCs w:val="15"/>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Austin</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Milan</w:t>
            </w:r>
          </w:p>
        </w:tc>
      </w:tr>
      <w:tr>
        <w:trPr>
          <w:trHeight w:val="173"/>
        </w:trPr>
        <w:tc>
          <w:tcPr>
            <w:tcW w:w="3900" w:type="dxa"/>
            <w:vAlign w:val="bottom"/>
          </w:tcPr>
          <w:p>
            <w:pPr>
              <w:spacing w:after="0"/>
              <w:rPr>
                <w:sz w:val="15"/>
                <w:szCs w:val="15"/>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Beijing</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Munich</w:t>
            </w:r>
          </w:p>
        </w:tc>
      </w:tr>
      <w:tr>
        <w:trPr>
          <w:trHeight w:val="173"/>
        </w:trPr>
        <w:tc>
          <w:tcPr>
            <w:tcW w:w="3900" w:type="dxa"/>
            <w:vAlign w:val="bottom"/>
          </w:tcPr>
          <w:p>
            <w:pPr>
              <w:spacing w:after="0"/>
              <w:rPr>
                <w:sz w:val="15"/>
                <w:szCs w:val="15"/>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Boston</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York</w:t>
            </w:r>
          </w:p>
        </w:tc>
      </w:tr>
      <w:tr>
        <w:trPr>
          <w:trHeight w:val="173"/>
        </w:trPr>
        <w:tc>
          <w:tcPr>
            <w:tcW w:w="3900" w:type="dxa"/>
            <w:vAlign w:val="bottom"/>
          </w:tcPr>
          <w:p>
            <w:pPr>
              <w:spacing w:after="0"/>
              <w:rPr>
                <w:sz w:val="15"/>
                <w:szCs w:val="15"/>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Brussels</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Orange County</w:t>
            </w:r>
          </w:p>
        </w:tc>
      </w:tr>
      <w:tr>
        <w:trPr>
          <w:trHeight w:val="173"/>
        </w:trPr>
        <w:tc>
          <w:tcPr>
            <w:tcW w:w="3900" w:type="dxa"/>
            <w:vAlign w:val="bottom"/>
          </w:tcPr>
          <w:p>
            <w:pPr>
              <w:spacing w:after="0"/>
              <w:rPr>
                <w:sz w:val="15"/>
                <w:szCs w:val="15"/>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Chicago</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Paris</w:t>
            </w:r>
          </w:p>
        </w:tc>
      </w:tr>
      <w:tr>
        <w:trPr>
          <w:trHeight w:val="173"/>
        </w:trPr>
        <w:tc>
          <w:tcPr>
            <w:tcW w:w="3900" w:type="dxa"/>
            <w:vAlign w:val="bottom"/>
          </w:tcPr>
          <w:p>
            <w:pPr>
              <w:spacing w:after="0"/>
              <w:rPr>
                <w:sz w:val="15"/>
                <w:szCs w:val="15"/>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Dubai</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Riyadh</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May 13, 2026</w:t>
            </w: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Düsseldorf</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San Diego</w:t>
            </w:r>
          </w:p>
        </w:tc>
      </w:tr>
      <w:tr>
        <w:trPr>
          <w:trHeight w:val="173"/>
        </w:trPr>
        <w:tc>
          <w:tcPr>
            <w:tcW w:w="3900" w:type="dxa"/>
            <w:vAlign w:val="bottom"/>
          </w:tcPr>
          <w:p>
            <w:pPr>
              <w:spacing w:after="0"/>
              <w:rPr>
                <w:sz w:val="15"/>
                <w:szCs w:val="15"/>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Frankfurt</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73"/>
        </w:trPr>
        <w:tc>
          <w:tcPr>
            <w:tcW w:w="3900" w:type="dxa"/>
            <w:vAlign w:val="bottom"/>
          </w:tcPr>
          <w:p>
            <w:pPr>
              <w:spacing w:after="0"/>
              <w:rPr>
                <w:sz w:val="15"/>
                <w:szCs w:val="15"/>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Hamburg</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Seoul</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PDF Solutions, Inc.</w:t>
            </w: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Hong Kong</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Silicon Valley</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2858 De La Cruz Boulevard</w:t>
            </w: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Houston</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Singapore</w:t>
            </w: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Santa Clara, California 95050</w:t>
            </w: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London</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Tel Aviv</w:t>
            </w:r>
          </w:p>
        </w:tc>
      </w:tr>
      <w:tr>
        <w:trPr>
          <w:trHeight w:val="173"/>
        </w:trPr>
        <w:tc>
          <w:tcPr>
            <w:tcW w:w="3900" w:type="dxa"/>
            <w:vAlign w:val="bottom"/>
          </w:tcPr>
          <w:p>
            <w:pPr>
              <w:spacing w:after="0"/>
              <w:rPr>
                <w:sz w:val="15"/>
                <w:szCs w:val="15"/>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Los Angeles</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Tokyo</w:t>
            </w:r>
          </w:p>
        </w:tc>
      </w:tr>
      <w:tr>
        <w:trPr>
          <w:trHeight w:val="188"/>
        </w:trPr>
        <w:tc>
          <w:tcPr>
            <w:tcW w:w="3900" w:type="dxa"/>
            <w:vAlign w:val="bottom"/>
          </w:tcPr>
          <w:p>
            <w:pPr>
              <w:spacing w:after="0"/>
              <w:rPr>
                <w:sz w:val="16"/>
                <w:szCs w:val="16"/>
                <w:color w:val="auto"/>
              </w:rPr>
            </w:pPr>
          </w:p>
        </w:tc>
        <w:tc>
          <w:tcPr>
            <w:tcW w:w="318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Madrid</w:t>
            </w:r>
          </w:p>
        </w:tc>
        <w:tc>
          <w:tcPr>
            <w:tcW w:w="1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-1647190</wp:posOffset>
            </wp:positionV>
            <wp:extent cx="166116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661160" cy="171450"/>
                    </a:xfrm>
                    <a:prstGeom prst="rect">
                      <a:avLst/>
                    </a:prstGeom>
                    <a:noFill/>
                  </pic:spPr>
                </pic:pic>
              </a:graphicData>
            </a:graphic>
          </wp:anchor>
        </w:drawing>
      </w:r>
    </w:p>
    <w:p>
      <w:pPr>
        <w:spacing w:after="0" w:line="159" w:lineRule="exact"/>
        <w:rPr>
          <w:sz w:val="20"/>
          <w:szCs w:val="20"/>
          <w:color w:val="auto"/>
        </w:rPr>
      </w:pPr>
    </w:p>
    <w:p>
      <w:pPr>
        <w:ind w:left="100"/>
        <w:spacing w:after="0"/>
        <w:tabs>
          <w:tab w:leader="none" w:pos="42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Registration Statement on Form S-3</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 the addressees set forth above:</w:t>
      </w:r>
    </w:p>
    <w:p>
      <w:pPr>
        <w:spacing w:after="0" w:line="94" w:lineRule="exact"/>
        <w:rPr>
          <w:sz w:val="20"/>
          <w:szCs w:val="20"/>
          <w:color w:val="auto"/>
        </w:rPr>
      </w:pPr>
    </w:p>
    <w:p>
      <w:pPr>
        <w:ind w:left="100" w:right="119" w:firstLine="353"/>
        <w:spacing w:after="0" w:line="263" w:lineRule="auto"/>
        <w:rPr>
          <w:sz w:val="20"/>
          <w:szCs w:val="20"/>
          <w:color w:val="auto"/>
        </w:rPr>
      </w:pPr>
      <w:r>
        <w:rPr>
          <w:rFonts w:ascii="Times New Roman" w:cs="Times New Roman" w:eastAsia="Times New Roman" w:hAnsi="Times New Roman"/>
          <w:sz w:val="14"/>
          <w:szCs w:val="14"/>
          <w:color w:val="auto"/>
        </w:rPr>
        <w:t>We have acted as special counsel to PDF Solutions,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its filing on the date hereof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(as amended,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including a base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relating to the registration (a) for issue and sale by the Company of shares of the Company’s common stock, $0.00015 par value per share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and</w:t>
      </w:r>
    </w:p>
    <w:p>
      <w:pPr>
        <w:spacing w:after="0" w:line="2" w:lineRule="exact"/>
        <w:rPr>
          <w:sz w:val="20"/>
          <w:szCs w:val="20"/>
          <w:color w:val="auto"/>
        </w:rPr>
      </w:pPr>
    </w:p>
    <w:p>
      <w:pPr>
        <w:ind w:left="100" w:right="339" w:hanging="7"/>
        <w:spacing w:after="0" w:line="275" w:lineRule="auto"/>
        <w:tabs>
          <w:tab w:leader="none" w:pos="3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shares of Common Stock to be resold from time to time by certain securityholders of the Company (the “</w:t>
      </w:r>
      <w:r>
        <w:rPr>
          <w:rFonts w:ascii="Times New Roman" w:cs="Times New Roman" w:eastAsia="Times New Roman" w:hAnsi="Times New Roman"/>
          <w:sz w:val="14"/>
          <w:szCs w:val="14"/>
          <w:b w:val="1"/>
          <w:bCs w:val="1"/>
          <w:i w:val="1"/>
          <w:iCs w:val="1"/>
          <w:color w:val="auto"/>
        </w:rPr>
        <w:t>Selling Securityholder Shares</w:t>
      </w:r>
      <w:r>
        <w:rPr>
          <w:rFonts w:ascii="Times New Roman" w:cs="Times New Roman" w:eastAsia="Times New Roman" w:hAnsi="Times New Roman"/>
          <w:sz w:val="14"/>
          <w:szCs w:val="14"/>
          <w:color w:val="auto"/>
        </w:rPr>
        <w:t>”). The Common Stock and the Selling Securityholder Shares are referred to herein collectively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00" w:right="159" w:firstLine="353"/>
        <w:spacing w:after="0" w:line="278"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132" w:lineRule="exact"/>
        <w:rPr>
          <w:sz w:val="20"/>
          <w:szCs w:val="20"/>
          <w:color w:val="auto"/>
        </w:rPr>
      </w:pPr>
    </w:p>
    <w:p>
      <w:pPr>
        <w:ind w:left="100" w:right="159" w:firstLine="353"/>
        <w:spacing w:after="0" w:line="268" w:lineRule="auto"/>
        <w:rPr>
          <w:sz w:val="20"/>
          <w:szCs w:val="20"/>
          <w:color w:val="auto"/>
        </w:rPr>
      </w:pPr>
      <w:r>
        <w:rPr>
          <w:rFonts w:ascii="Times New Roman" w:cs="Times New Roman" w:eastAsia="Times New Roman" w:hAnsi="Times New Roman"/>
          <w:sz w:val="14"/>
          <w:szCs w:val="14"/>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the applicability thereto, or the effect thereon, of the laws of any other jurisdiction or, in the case of Delaware, any other laws, or as to any matters of municipal law or the laws of any local agencies within any state.</w:t>
      </w:r>
    </w:p>
    <w:p>
      <w:pPr>
        <w:sectPr>
          <w:pgSz w:w="11900" w:h="16838" w:orient="portrait"/>
          <w:cols w:equalWidth="0" w:num="1">
            <w:col w:w="9019"/>
          </w:cols>
          <w:pgMar w:left="1440" w:top="123" w:right="1440" w:bottom="1440" w:gutter="0" w:footer="0" w:header="0"/>
        </w:sectPr>
      </w:pPr>
    </w:p>
    <w:bookmarkStart w:id="24" w:name="page25"/>
    <w:bookmarkEnd w:id="24"/>
    <w:p>
      <w:pPr>
        <w:ind w:left="1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May 13, 2026</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130810</wp:posOffset>
            </wp:positionV>
            <wp:extent cx="1160145" cy="116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160145" cy="116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109" w:lineRule="exact"/>
        <w:rPr>
          <w:sz w:val="20"/>
          <w:szCs w:val="20"/>
          <w:color w:val="auto"/>
        </w:rPr>
      </w:pPr>
    </w:p>
    <w:p>
      <w:pPr>
        <w:ind w:left="1220" w:right="119" w:hanging="337"/>
        <w:spacing w:after="0" w:line="263" w:lineRule="auto"/>
        <w:tabs>
          <w:tab w:leader="none" w:pos="1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Company’s Third Amended and Restated Certificate of Incorporation, as amended (the “</w:t>
      </w:r>
      <w:r>
        <w:rPr>
          <w:rFonts w:ascii="Times New Roman" w:cs="Times New Roman" w:eastAsia="Times New Roman" w:hAnsi="Times New Roman"/>
          <w:sz w:val="14"/>
          <w:szCs w:val="14"/>
          <w:b w:val="1"/>
          <w:bCs w:val="1"/>
          <w:i w:val="1"/>
          <w:iCs w:val="1"/>
          <w:color w:val="auto"/>
        </w:rPr>
        <w:t>Certificate of Incorporation</w:t>
      </w:r>
      <w:r>
        <w:rPr>
          <w:rFonts w:ascii="Times New Roman" w:cs="Times New Roman" w:eastAsia="Times New Roman" w:hAnsi="Times New Roman"/>
          <w:sz w:val="14"/>
          <w:szCs w:val="14"/>
          <w:color w:val="auto"/>
        </w:rPr>
        <w:t>”),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69" w:lineRule="exact"/>
        <w:rPr>
          <w:rFonts w:ascii="Times New Roman" w:cs="Times New Roman" w:eastAsia="Times New Roman" w:hAnsi="Times New Roman"/>
          <w:sz w:val="14"/>
          <w:szCs w:val="14"/>
          <w:color w:val="auto"/>
        </w:rPr>
      </w:pPr>
    </w:p>
    <w:p>
      <w:pPr>
        <w:ind w:left="1220" w:right="139" w:hanging="337"/>
        <w:spacing w:after="0" w:line="265" w:lineRule="auto"/>
        <w:tabs>
          <w:tab w:leader="none" w:pos="1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 issuance of Selling Securityholder Shares has been duly authorized by all necessary corporate action of the Company, upon issuance, delivery and payment therefor in an amount not less than the par value thereof in the manner contemplated by such corporate action, and in total amounts and numbers of shares that do not exceed the respective total amounts and numbers of shares</w:t>
      </w:r>
    </w:p>
    <w:p>
      <w:pPr>
        <w:spacing w:after="0" w:line="1" w:lineRule="exact"/>
        <w:rPr>
          <w:rFonts w:ascii="Times New Roman" w:cs="Times New Roman" w:eastAsia="Times New Roman" w:hAnsi="Times New Roman"/>
          <w:sz w:val="14"/>
          <w:szCs w:val="14"/>
          <w:color w:val="auto"/>
        </w:rPr>
      </w:pPr>
    </w:p>
    <w:p>
      <w:pPr>
        <w:ind w:left="1220" w:right="21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available under the Certificate of Incorporation and (b) authorized by the board of directors in connection with the issuance of such Selling Securityholder Shares, such Selling Securityholder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opinions are subject to:</w:t>
      </w:r>
    </w:p>
    <w:p>
      <w:pPr>
        <w:spacing w:after="0" w:line="109" w:lineRule="exact"/>
        <w:rPr>
          <w:sz w:val="20"/>
          <w:szCs w:val="20"/>
          <w:color w:val="auto"/>
        </w:rPr>
      </w:pPr>
    </w:p>
    <w:p>
      <w:pPr>
        <w:ind w:left="880" w:right="559" w:hanging="441"/>
        <w:spacing w:after="0" w:line="298" w:lineRule="auto"/>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bankruptcy, insolvency, reorganization, preference, fraudulent transfer, moratorium or other similar laws relating to or affecting the rights and remedies of creditors; and</w:t>
      </w:r>
    </w:p>
    <w:p>
      <w:pPr>
        <w:spacing w:after="0" w:line="43" w:lineRule="exact"/>
        <w:rPr>
          <w:rFonts w:ascii="Times New Roman" w:cs="Times New Roman" w:eastAsia="Times New Roman" w:hAnsi="Times New Roman"/>
          <w:sz w:val="14"/>
          <w:szCs w:val="14"/>
          <w:color w:val="auto"/>
        </w:rPr>
      </w:pPr>
    </w:p>
    <w:p>
      <w:pPr>
        <w:jc w:val="both"/>
        <w:ind w:left="880" w:right="199" w:hanging="441"/>
        <w:spacing w:after="0" w:line="278" w:lineRule="auto"/>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effects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w:t>
      </w:r>
    </w:p>
    <w:p>
      <w:pPr>
        <w:spacing w:after="0" w:line="132" w:lineRule="exact"/>
        <w:rPr>
          <w:sz w:val="20"/>
          <w:szCs w:val="20"/>
          <w:color w:val="auto"/>
        </w:rPr>
      </w:pPr>
    </w:p>
    <w:p>
      <w:pPr>
        <w:jc w:val="both"/>
        <w:ind w:left="100" w:right="179" w:firstLine="353"/>
        <w:spacing w:after="0" w:line="271" w:lineRule="auto"/>
        <w:rPr>
          <w:sz w:val="20"/>
          <w:szCs w:val="20"/>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Sincerely,</w:t>
      </w:r>
    </w:p>
    <w:p>
      <w:pPr>
        <w:spacing w:after="0" w:line="1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/s/ Latham &amp; Watkins LLP</w:t>
      </w:r>
    </w:p>
    <w:p>
      <w:pPr>
        <w:sectPr>
          <w:pgSz w:w="11900" w:h="16838" w:orient="portrait"/>
          <w:cols w:equalWidth="0" w:num="1">
            <w:col w:w="9019"/>
          </w:cols>
          <w:pgMar w:left="1440" w:top="242" w:right="1440" w:bottom="1440" w:gutter="0" w:footer="0" w:header="0"/>
        </w:sectPr>
      </w:pPr>
    </w:p>
    <w:bookmarkStart w:id="25" w:name="page26"/>
    <w:bookmarkEnd w:id="25"/>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7" w:lineRule="exact"/>
        <w:rPr>
          <w:sz w:val="20"/>
          <w:szCs w:val="20"/>
          <w:color w:val="auto"/>
        </w:rPr>
      </w:pPr>
    </w:p>
    <w:p>
      <w:pPr>
        <w:ind w:left="100" w:right="139"/>
        <w:spacing w:after="0" w:line="271"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PDF Solutions, Inc. of our reports dated February 24, 2026 relating to the consolidated financial statements and the effectiveness of internal control over financial reporting, which appear in PDF Solutions, Inc.’s Annual Report on Form 10-K for the year ended December 31, 2025. We also consent to the reference to us under the heading “Experts” in such Registration Statement.</w:t>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 BPM LLP</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May 13, 2026</w:t>
      </w:r>
    </w:p>
    <w:p>
      <w:pPr>
        <w:sectPr>
          <w:pgSz w:w="11900" w:h="16838" w:orient="portrait"/>
          <w:cols w:equalWidth="0" w:num="1">
            <w:col w:w="9019"/>
          </w:cols>
          <w:pgMar w:left="1440" w:top="123" w:right="1440" w:bottom="1440" w:gutter="0" w:footer="0" w:header="0"/>
        </w:sectPr>
      </w:pPr>
    </w:p>
    <w:bookmarkStart w:id="26" w:name="page27"/>
    <w:bookmarkEnd w:id="26"/>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5" w:lineRule="exact"/>
        <w:rPr>
          <w:sz w:val="20"/>
          <w:szCs w:val="20"/>
          <w:color w:val="auto"/>
        </w:rPr>
      </w:pPr>
    </w:p>
    <w:p>
      <w:pPr>
        <w:ind w:left="5340"/>
        <w:spacing w:after="0"/>
        <w:rPr>
          <w:sz w:val="20"/>
          <w:szCs w:val="20"/>
          <w:color w:val="auto"/>
        </w:rPr>
      </w:pPr>
      <w:r>
        <w:rPr>
          <w:rFonts w:ascii="Arial" w:cs="Arial" w:eastAsia="Arial" w:hAnsi="Arial"/>
          <w:sz w:val="29"/>
          <w:szCs w:val="29"/>
          <w:b w:val="1"/>
          <w:bCs w:val="1"/>
          <w:color w:val="auto"/>
        </w:rPr>
        <w:t>S-3</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PDF SOLUTIONS INC</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740" w:type="dxa"/>
            <w:vAlign w:val="bottom"/>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34"/>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40" w:type="dxa"/>
            <w:vAlign w:val="bottom"/>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ind w:left="20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74"/>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gridSpan w:val="7"/>
          </w:tcPr>
          <w:p>
            <w:pPr>
              <w:jc w:val="right"/>
              <w:ind w:right="117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$0.00015</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gridSpan w:val="7"/>
          </w:tcPr>
          <w:p>
            <w:pPr>
              <w:jc w:val="right"/>
              <w:ind w:right="129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220" w:right="120" w:hanging="181"/>
        <w:spacing w:after="0" w:line="235" w:lineRule="auto"/>
        <w:tabs>
          <w:tab w:leader="none" w:pos="22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(1) 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(2) Includes rights to acquire common stock of the registrant under any shareholder rights plan then in effect, if applicable under the terms of any such plan. (3) In accordance with Rules 456(b) and 457(r) under the Securities Act, the registrant is deferring payment of all registration fees and will pay the registration fees subsequently in advance or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4375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43750" cy="3937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60" w:type="dxa"/>
            <w:vAlign w:val="bottom"/>
            <w:tcBorders>
              <w:right w:val="single" w:sz="8" w:color="9ADAF6"/>
            </w:tcBorders>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60" w:type="dxa"/>
            <w:vAlign w:val="bottom"/>
            <w:tcBorders>
              <w:right w:val="single" w:sz="8" w:color="9ADAF6"/>
            </w:tcBorders>
          </w:tcPr>
          <w:p>
            <w:pPr>
              <w:spacing w:after="0"/>
              <w:rPr>
                <w:sz w:val="8"/>
                <w:szCs w:val="8"/>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7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
            <w:vMerge w:val="continue"/>
            <w:shd w:val="clear" w:color="auto" w:fill="9ADAF6"/>
          </w:tcPr>
          <w:p>
            <w:pPr>
              <w:spacing w:after="0"/>
              <w:rPr>
                <w:sz w:val="10"/>
                <w:szCs w:val="10"/>
                <w:color w:val="auto"/>
              </w:rPr>
            </w:pPr>
          </w:p>
        </w:tc>
        <w:tc>
          <w:tcPr>
            <w:tcW w:w="60" w:type="dxa"/>
            <w:vAlign w:val="bottom"/>
            <w:tcBorders>
              <w:right w:val="single" w:sz="8" w:color="9ADAF6"/>
            </w:tcBorders>
          </w:tcPr>
          <w:p>
            <w:pPr>
              <w:spacing w:after="0"/>
              <w:rPr>
                <w:sz w:val="10"/>
                <w:szCs w:val="10"/>
                <w:color w:val="auto"/>
              </w:rPr>
            </w:pPr>
          </w:p>
        </w:tc>
        <w:tc>
          <w:tcPr>
            <w:tcW w:w="5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right w:val="single" w:sz="8" w:color="9ADAF6"/>
            </w:tcBorders>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Filing</w:t>
            </w:r>
          </w:p>
        </w:tc>
        <w:tc>
          <w:tcPr>
            <w:tcW w:w="20" w:type="dxa"/>
            <w:vAlign w:val="bottom"/>
          </w:tcPr>
          <w:p>
            <w:pPr>
              <w:spacing w:after="0"/>
              <w:rPr>
                <w:sz w:val="10"/>
                <w:szCs w:val="10"/>
                <w:color w:val="auto"/>
              </w:rPr>
            </w:pPr>
          </w:p>
        </w:tc>
        <w:tc>
          <w:tcPr>
            <w:tcW w:w="6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right w:val="single" w:sz="8" w:color="9ADAF6"/>
            </w:tcBorders>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9ADAF6"/>
            </w:tcBorders>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9ADAF6"/>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440" w:type="dxa"/>
            <w:vAlign w:val="bottom"/>
            <w:shd w:val="clear" w:color="auto" w:fill="9ADAF6"/>
          </w:tcPr>
          <w:p>
            <w:pPr>
              <w:spacing w:after="0"/>
              <w:rPr>
                <w:sz w:val="22"/>
                <w:szCs w:val="22"/>
                <w:color w:val="auto"/>
              </w:rPr>
            </w:pPr>
          </w:p>
        </w:tc>
        <w:tc>
          <w:tcPr>
            <w:tcW w:w="20" w:type="dxa"/>
            <w:vAlign w:val="bottom"/>
            <w:shd w:val="clear" w:color="auto" w:fill="9ADAF6"/>
          </w:tcPr>
          <w:p>
            <w:pPr>
              <w:spacing w:after="0"/>
              <w:rPr>
                <w:sz w:val="22"/>
                <w:szCs w:val="22"/>
                <w:color w:val="auto"/>
              </w:rPr>
            </w:pPr>
          </w:p>
        </w:tc>
        <w:tc>
          <w:tcPr>
            <w:tcW w:w="52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shd w:val="clear" w:color="auto" w:fill="9ADAF6"/>
          </w:tcPr>
          <w:p>
            <w:pPr>
              <w:spacing w:after="0"/>
              <w:rPr>
                <w:sz w:val="22"/>
                <w:szCs w:val="22"/>
                <w:color w:val="auto"/>
              </w:rPr>
            </w:pPr>
          </w:p>
        </w:tc>
        <w:tc>
          <w:tcPr>
            <w:tcW w:w="20" w:type="dxa"/>
            <w:vAlign w:val="bottom"/>
            <w:shd w:val="clear" w:color="auto" w:fill="9ADAF6"/>
          </w:tcPr>
          <w:p>
            <w:pPr>
              <w:spacing w:after="0"/>
              <w:rPr>
                <w:sz w:val="22"/>
                <w:szCs w:val="22"/>
                <w:color w:val="auto"/>
              </w:rPr>
            </w:pPr>
          </w:p>
        </w:tc>
        <w:tc>
          <w:tcPr>
            <w:tcW w:w="1160" w:type="dxa"/>
            <w:vAlign w:val="bottom"/>
            <w:shd w:val="clear" w:color="auto" w:fill="9ADAF6"/>
          </w:tcPr>
          <w:p>
            <w:pPr>
              <w:jc w:val="center"/>
              <w:ind w:right="274"/>
              <w:spacing w:after="0"/>
              <w:rPr>
                <w:sz w:val="20"/>
                <w:szCs w:val="20"/>
                <w:color w:val="auto"/>
              </w:rPr>
            </w:pPr>
            <w:r>
              <w:rPr>
                <w:rFonts w:ascii="Arial" w:cs="Arial" w:eastAsia="Arial" w:hAnsi="Arial"/>
                <w:sz w:val="17"/>
                <w:szCs w:val="17"/>
                <w:b w:val="1"/>
                <w:bCs w:val="1"/>
                <w:color w:val="auto"/>
              </w:rPr>
              <w:t>Name</w:t>
            </w:r>
          </w:p>
        </w:tc>
        <w:tc>
          <w:tcPr>
            <w:tcW w:w="60" w:type="dxa"/>
            <w:vAlign w:val="bottom"/>
            <w:tcBorders>
              <w:right w:val="single" w:sz="8" w:color="9ADAF6"/>
            </w:tcBorders>
          </w:tcPr>
          <w:p>
            <w:pPr>
              <w:spacing w:after="0"/>
              <w:rPr>
                <w:sz w:val="22"/>
                <w:szCs w:val="22"/>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22"/>
                <w:szCs w:val="22"/>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22"/>
                <w:szCs w:val="22"/>
                <w:color w:val="auto"/>
              </w:rPr>
            </w:pPr>
          </w:p>
        </w:tc>
        <w:tc>
          <w:tcPr>
            <w:tcW w:w="62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22"/>
                <w:szCs w:val="22"/>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22"/>
                <w:szCs w:val="22"/>
                <w:color w:val="auto"/>
              </w:rPr>
            </w:pPr>
          </w:p>
        </w:tc>
        <w:tc>
          <w:tcPr>
            <w:tcW w:w="70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22"/>
                <w:szCs w:val="22"/>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2"/>
                <w:szCs w:val="22"/>
                <w:color w:val="auto"/>
              </w:rPr>
            </w:pPr>
          </w:p>
        </w:tc>
        <w:tc>
          <w:tcPr>
            <w:tcW w:w="94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40" w:type="dxa"/>
            <w:vAlign w:val="bottom"/>
          </w:tcPr>
          <w:p>
            <w:pPr>
              <w:spacing w:after="0"/>
              <w:rPr>
                <w:sz w:val="22"/>
                <w:szCs w:val="22"/>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22"/>
                <w:szCs w:val="22"/>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22"/>
                <w:szCs w:val="22"/>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60" w:type="dxa"/>
            <w:vAlign w:val="bottom"/>
            <w:shd w:val="clear" w:color="auto" w:fill="9ADAF6"/>
          </w:tcPr>
          <w:p>
            <w:pPr>
              <w:spacing w:after="0"/>
              <w:rPr>
                <w:sz w:val="10"/>
                <w:szCs w:val="10"/>
                <w:color w:val="auto"/>
              </w:rPr>
            </w:pPr>
          </w:p>
        </w:tc>
        <w:tc>
          <w:tcPr>
            <w:tcW w:w="60" w:type="dxa"/>
            <w:vAlign w:val="bottom"/>
            <w:tcBorders>
              <w:right w:val="single" w:sz="8" w:color="9ADAF6"/>
            </w:tcBorders>
          </w:tcPr>
          <w:p>
            <w:pPr>
              <w:spacing w:after="0"/>
              <w:rPr>
                <w:sz w:val="10"/>
                <w:szCs w:val="10"/>
                <w:color w:val="auto"/>
              </w:rPr>
            </w:pPr>
          </w:p>
        </w:tc>
        <w:tc>
          <w:tcPr>
            <w:tcW w:w="5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3"/>
          </w:tcPr>
          <w:p>
            <w:pPr>
              <w:jc w:val="center"/>
              <w:ind w:right="156"/>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60" w:type="dxa"/>
            <w:vAlign w:val="bottom"/>
            <w:tcBorders>
              <w:right w:val="single" w:sz="8" w:color="E7E7E2"/>
            </w:tcBorders>
          </w:tcPr>
          <w:p>
            <w:pPr>
              <w:spacing w:after="0"/>
              <w:rPr>
                <w:sz w:val="17"/>
                <w:szCs w:val="17"/>
                <w:color w:val="auto"/>
              </w:rPr>
            </w:pPr>
          </w:p>
        </w:tc>
        <w:tc>
          <w:tcPr>
            <w:tcW w:w="5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6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80" w:type="dxa"/>
            <w:vAlign w:val="bottom"/>
            <w:tcBorders>
              <w:right w:val="single" w:sz="8" w:color="E7E7E2"/>
            </w:tcBorders>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60" w:type="dxa"/>
            <w:vAlign w:val="bottom"/>
            <w:tcBorders>
              <w:right w:val="single" w:sz="8" w:color="E7E7E2"/>
            </w:tcBorders>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vMerge w:val="continue"/>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60" w:type="dxa"/>
            <w:vAlign w:val="bottom"/>
            <w:tcBorders>
              <w:right w:val="single" w:sz="8" w:color="E7E7E2"/>
            </w:tcBorders>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7"/>
          </w:tcPr>
          <w:p>
            <w:pPr>
              <w:jc w:val="center"/>
              <w:ind w:right="24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60" w:type="dxa"/>
            <w:vAlign w:val="bottom"/>
            <w:tcBorders>
              <w:right w:val="single" w:sz="8" w:color="E7E7E2"/>
            </w:tcBorders>
          </w:tcPr>
          <w:p>
            <w:pPr>
              <w:spacing w:after="0"/>
              <w:rPr>
                <w:sz w:val="17"/>
                <w:szCs w:val="17"/>
                <w:color w:val="auto"/>
              </w:rPr>
            </w:pPr>
          </w:p>
        </w:tc>
        <w:tc>
          <w:tcPr>
            <w:tcW w:w="5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6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80" w:type="dxa"/>
            <w:vAlign w:val="bottom"/>
            <w:tcBorders>
              <w:right w:val="single" w:sz="8" w:color="E7E7E2"/>
            </w:tcBorders>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60" w:type="dxa"/>
            <w:vAlign w:val="bottom"/>
            <w:tcBorders>
              <w:right w:val="single" w:sz="8" w:color="E7E7E2"/>
            </w:tcBorders>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vMerge w:val="continue"/>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60" w:type="dxa"/>
            <w:vAlign w:val="bottom"/>
            <w:tcBorders>
              <w:right w:val="single" w:sz="8" w:color="E7E7E2"/>
            </w:tcBorders>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3: Combined Prospectuses</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9ADAF6"/>
          </w:tcPr>
          <w:p>
            <w:pPr>
              <w:spacing w:after="0"/>
              <w:rPr>
                <w:sz w:val="17"/>
                <w:szCs w:val="17"/>
                <w:color w:val="auto"/>
              </w:rPr>
            </w:pPr>
          </w:p>
        </w:tc>
        <w:tc>
          <w:tcPr>
            <w:tcW w:w="60" w:type="dxa"/>
            <w:vAlign w:val="bottom"/>
            <w:tcBorders>
              <w:right w:val="single" w:sz="8" w:color="9ADAF6"/>
            </w:tcBorders>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118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1860" w:type="dxa"/>
            <w:vAlign w:val="bottom"/>
            <w:gridSpan w:val="4"/>
            <w:shd w:val="clear" w:color="auto" w:fill="9ADAF6"/>
          </w:tcPr>
          <w:p>
            <w:pPr>
              <w:jc w:val="center"/>
              <w:ind w:right="77"/>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660" w:type="dxa"/>
            <w:vAlign w:val="bottom"/>
            <w:gridSpan w:val="2"/>
            <w:vMerge w:val="restart"/>
            <w:shd w:val="clear" w:color="auto" w:fill="9ADAF6"/>
          </w:tcPr>
          <w:p>
            <w:pPr>
              <w:jc w:val="center"/>
              <w:ind w:right="97"/>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40" w:type="dxa"/>
            <w:vAlign w:val="bottom"/>
            <w:gridSpan w:val="3"/>
            <w:vMerge w:val="restart"/>
            <w:shd w:val="clear" w:color="auto" w:fill="9ADAF6"/>
          </w:tcPr>
          <w:p>
            <w:pPr>
              <w:jc w:val="center"/>
              <w:ind w:right="77"/>
              <w:spacing w:after="0"/>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60" w:type="dxa"/>
            <w:vAlign w:val="bottom"/>
            <w:gridSpan w:val="5"/>
            <w:vMerge w:val="restart"/>
            <w:shd w:val="clear" w:color="auto" w:fill="9ADAF6"/>
          </w:tcPr>
          <w:p>
            <w:pPr>
              <w:ind w:left="60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4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60" w:type="dxa"/>
            <w:vAlign w:val="bottom"/>
            <w:gridSpan w:val="4"/>
            <w:vMerge w:val="restart"/>
            <w:shd w:val="clear" w:color="auto" w:fill="9ADAF6"/>
          </w:tcPr>
          <w:p>
            <w:pPr>
              <w:jc w:val="center"/>
              <w:ind w:right="57"/>
              <w:spacing w:after="0"/>
              <w:rPr>
                <w:sz w:val="20"/>
                <w:szCs w:val="20"/>
                <w:color w:val="auto"/>
              </w:rPr>
            </w:pPr>
            <w:r>
              <w:rPr>
                <w:rFonts w:ascii="Arial" w:cs="Arial" w:eastAsia="Arial" w:hAnsi="Arial"/>
                <w:sz w:val="17"/>
                <w:szCs w:val="17"/>
                <w:b w:val="1"/>
                <w:bCs w:val="1"/>
                <w:color w:val="auto"/>
                <w:w w:val="99"/>
              </w:rPr>
              <w:t>Securities Previously</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60" w:type="dxa"/>
            <w:vAlign w:val="bottom"/>
            <w:gridSpan w:val="4"/>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17"/>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9ADAF6"/>
          </w:tcPr>
          <w:p>
            <w:pPr>
              <w:spacing w:after="0"/>
              <w:rPr>
                <w:sz w:val="12"/>
                <w:szCs w:val="12"/>
                <w:color w:val="auto"/>
              </w:rPr>
            </w:pPr>
          </w:p>
        </w:tc>
        <w:tc>
          <w:tcPr>
            <w:tcW w:w="60" w:type="dxa"/>
            <w:vAlign w:val="bottom"/>
            <w:tcBorders>
              <w:right w:val="single" w:sz="8" w:color="9ADAF6"/>
            </w:tcBorders>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right w:val="single" w:sz="8" w:color="9ADAF6"/>
            </w:tcBorders>
            <w:shd w:val="clear" w:color="auto" w:fill="9ADAF6"/>
          </w:tcPr>
          <w:p>
            <w:pPr>
              <w:spacing w:after="0"/>
              <w:rPr>
                <w:sz w:val="12"/>
                <w:szCs w:val="12"/>
                <w:color w:val="auto"/>
              </w:rPr>
            </w:pPr>
          </w:p>
        </w:tc>
        <w:tc>
          <w:tcPr>
            <w:tcW w:w="118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6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40" w:type="dxa"/>
            <w:vAlign w:val="bottom"/>
            <w:gridSpan w:val="3"/>
            <w:vMerge w:val="restart"/>
            <w:shd w:val="clear" w:color="auto" w:fill="9ADAF6"/>
          </w:tcPr>
          <w:p>
            <w:pPr>
              <w:jc w:val="center"/>
              <w:ind w:right="97"/>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vMerge w:val="continue"/>
            <w:shd w:val="clear" w:color="auto" w:fill="9ADAF6"/>
          </w:tcPr>
          <w:p>
            <w:pPr>
              <w:spacing w:after="0"/>
              <w:rPr>
                <w:sz w:val="12"/>
                <w:szCs w:val="12"/>
                <w:color w:val="auto"/>
              </w:rPr>
            </w:pPr>
          </w:p>
        </w:tc>
        <w:tc>
          <w:tcPr>
            <w:tcW w:w="60" w:type="dxa"/>
            <w:vAlign w:val="bottom"/>
            <w:tcBorders>
              <w:left w:val="single" w:sz="8" w:color="9ADAF6"/>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9ADAF6"/>
            </w:tcBorders>
            <w:shd w:val="clear" w:color="auto" w:fill="9ADAF6"/>
          </w:tcPr>
          <w:p>
            <w:pPr>
              <w:spacing w:after="0"/>
              <w:rPr>
                <w:sz w:val="7"/>
                <w:szCs w:val="7"/>
                <w:color w:val="auto"/>
              </w:rPr>
            </w:pPr>
          </w:p>
        </w:tc>
        <w:tc>
          <w:tcPr>
            <w:tcW w:w="118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4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bottom w:val="single" w:sz="8" w:color="E7E7E2"/>
            </w:tcBorders>
          </w:tcPr>
          <w:p>
            <w:pPr>
              <w:spacing w:after="0"/>
              <w:rPr>
                <w:sz w:val="2"/>
                <w:szCs w:val="2"/>
                <w:color w:val="auto"/>
              </w:rPr>
            </w:pPr>
          </w:p>
        </w:tc>
        <w:tc>
          <w:tcPr>
            <w:tcW w:w="60" w:type="dxa"/>
            <w:vAlign w:val="bottom"/>
            <w:tcBorders>
              <w:bottom w:val="single" w:sz="8" w:color="E7E7E2"/>
            </w:tcBorders>
          </w:tcPr>
          <w:p>
            <w:pPr>
              <w:spacing w:after="0"/>
              <w:rPr>
                <w:sz w:val="2"/>
                <w:szCs w:val="2"/>
                <w:color w:val="auto"/>
              </w:rPr>
            </w:pPr>
          </w:p>
        </w:tc>
        <w:tc>
          <w:tcPr>
            <w:tcW w:w="5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5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9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860" w:type="dxa"/>
            <w:vAlign w:val="bottom"/>
            <w:tcBorders>
              <w:bottom w:val="single" w:sz="8" w:color="E7E7E2"/>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E7E7E2"/>
            </w:tcBorders>
          </w:tcPr>
          <w:p>
            <w:pPr>
              <w:spacing w:after="0"/>
              <w:rPr>
                <w:sz w:val="2"/>
                <w:szCs w:val="2"/>
                <w:color w:val="auto"/>
              </w:rPr>
            </w:pPr>
          </w:p>
        </w:tc>
        <w:tc>
          <w:tcPr>
            <w:tcW w:w="58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42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2"/>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07"/>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upperLetter"/>
      <w:start w:val="1"/>
    </w:lvl>
  </w:abstractNum>
  <w:abstractNum w:abstractNumId="9">
    <w:nsid w:val="109CF92E"/>
    <w:multiLevelType w:val="hybridMultilevel"/>
    <w:lvl w:ilvl="0">
      <w:lvlJc w:val="left"/>
      <w:lvlText w:val="(%1)"/>
      <w:numFmt w:val="decimal"/>
      <w:start w:val="6"/>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8"/>
    </w:lvl>
  </w:abstractNum>
  <w:abstractNum w:abstractNumId="13">
    <w:nsid w:val="41A7C4C9"/>
    <w:multiLevelType w:val="hybridMultilevel"/>
    <w:lvl w:ilvl="0">
      <w:lvlJc w:val="left"/>
      <w:lvlText w:val="(%1)"/>
      <w:numFmt w:val="lowerLetter"/>
      <w:start w:val="2"/>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jpeg"/><Relationship Id="rId52" Type="http://schemas.openxmlformats.org/officeDocument/2006/relationships/image" Target="media/image38.png"/><Relationship Id="rId53" Type="http://schemas.openxmlformats.org/officeDocument/2006/relationships/image" Target="media/image39.jpeg"/><Relationship Id="rId54" Type="http://schemas.openxmlformats.org/officeDocument/2006/relationships/image" Target="media/image40.png"/><Relationship Id="rId27" Type="http://schemas.openxmlformats.org/officeDocument/2006/relationships/hyperlink" Target="http://www.sec.gov/ix?doc=/Archives/edgar/data/1120914/000143774926005366/pdfs20251231d_10k.htm" TargetMode="External"/><Relationship Id="rId28" Type="http://schemas.openxmlformats.org/officeDocument/2006/relationships/hyperlink" Target="http://www.sec.gov/ix?doc=/Archives/edgar/data/1120914/000143774926013857/pdfs20260410_def14a.htm" TargetMode="External"/><Relationship Id="rId29" Type="http://schemas.openxmlformats.org/officeDocument/2006/relationships/hyperlink" Target="http://www.sec.gov/ix?doc=/Archives/edgar/data/1120914/000143774926015610/pdfs20260331_10q.htm" TargetMode="External"/><Relationship Id="rId30" Type="http://schemas.openxmlformats.org/officeDocument/2006/relationships/hyperlink" Target="http://www.sec.gov/ix?doc=/Archives/edgar/data/1120914/000143774926013337/pdfs20260423_8k.htm" TargetMode="External"/><Relationship Id="rId31" Type="http://schemas.openxmlformats.org/officeDocument/2006/relationships/hyperlink" Target="http://www.sec.gov/Archives/edgar/data/1120914/000155837022002561/pdfs-20211231xex4d3.htm" TargetMode="External"/><Relationship Id="rId45" Type="http://schemas.openxmlformats.org/officeDocument/2006/relationships/hyperlink" Target="http://www.sec.gov/Archives/edgar/data/1120914/000155837024011600/pdfs-20240630xex3d1.htm" TargetMode="External"/><Relationship Id="rId46" Type="http://schemas.openxmlformats.org/officeDocument/2006/relationships/hyperlink" Target="http://www.sec.gov/Archives/edgar/data/1120914/000143774919008420/ex_1425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2026-05-13T15:02:35Z</dcterms:created>
  <dcterms:modified xsi:type="dcterms:W3CDTF">2026-05-13T15:02:35Z</dcterms:modified>
</cp:coreProperties>
</file>